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D0" w:rsidRPr="005228BD" w:rsidRDefault="00696CD0" w:rsidP="00696CD0">
      <w:pPr>
        <w:keepNext/>
        <w:keepLines/>
        <w:spacing w:before="240" w:after="240"/>
        <w:ind w:right="-1"/>
        <w:jc w:val="center"/>
        <w:outlineLvl w:val="0"/>
        <w:rPr>
          <w:rFonts w:ascii="Bookman Old Style" w:eastAsiaTheme="majorEastAsia" w:hAnsi="Bookman Old Style" w:cstheme="minorHAnsi"/>
          <w:b/>
          <w:spacing w:val="-1"/>
          <w:szCs w:val="20"/>
        </w:rPr>
      </w:pPr>
      <w:r w:rsidRPr="005228BD">
        <w:rPr>
          <w:rFonts w:ascii="Bookman Old Style" w:eastAsiaTheme="majorEastAsia" w:hAnsi="Bookman Old Style" w:cstheme="minorHAnsi"/>
          <w:b/>
          <w:szCs w:val="20"/>
        </w:rPr>
        <w:t>ESTUDO</w:t>
      </w:r>
      <w:r w:rsidRPr="005228BD">
        <w:rPr>
          <w:rFonts w:ascii="Bookman Old Style" w:eastAsiaTheme="majorEastAsia" w:hAnsi="Bookman Old Style" w:cstheme="minorHAnsi"/>
          <w:b/>
          <w:spacing w:val="-2"/>
          <w:szCs w:val="20"/>
        </w:rPr>
        <w:t xml:space="preserve"> </w:t>
      </w:r>
      <w:r w:rsidRPr="005228BD">
        <w:rPr>
          <w:rFonts w:ascii="Bookman Old Style" w:eastAsiaTheme="majorEastAsia" w:hAnsi="Bookman Old Style" w:cstheme="minorHAnsi"/>
          <w:b/>
          <w:szCs w:val="20"/>
        </w:rPr>
        <w:t>TÉCNICO</w:t>
      </w:r>
      <w:r w:rsidRPr="005228BD">
        <w:rPr>
          <w:rFonts w:ascii="Bookman Old Style" w:eastAsiaTheme="majorEastAsia" w:hAnsi="Bookman Old Style" w:cstheme="minorHAnsi"/>
          <w:b/>
          <w:spacing w:val="-2"/>
          <w:szCs w:val="20"/>
        </w:rPr>
        <w:t xml:space="preserve"> </w:t>
      </w:r>
      <w:r w:rsidRPr="005228BD">
        <w:rPr>
          <w:rFonts w:ascii="Bookman Old Style" w:eastAsiaTheme="majorEastAsia" w:hAnsi="Bookman Old Style" w:cstheme="minorHAnsi"/>
          <w:b/>
          <w:szCs w:val="20"/>
        </w:rPr>
        <w:t xml:space="preserve">PRELIMINAR – ETP </w:t>
      </w:r>
    </w:p>
    <w:p w:rsidR="00696CD0" w:rsidRPr="005228BD" w:rsidRDefault="00696CD0" w:rsidP="00696CD0">
      <w:pPr>
        <w:spacing w:before="240" w:after="240"/>
        <w:ind w:right="-1"/>
      </w:pPr>
    </w:p>
    <w:p w:rsidR="00696CD0" w:rsidRPr="003B0027" w:rsidRDefault="00696CD0" w:rsidP="00696CD0">
      <w:pPr>
        <w:spacing w:before="240" w:after="240"/>
        <w:ind w:right="-1"/>
        <w:jc w:val="both"/>
        <w:rPr>
          <w:rFonts w:ascii="Bookman Old Style" w:hAnsi="Bookman Old Style" w:cstheme="minorHAnsi"/>
          <w:b/>
          <w:sz w:val="18"/>
          <w:szCs w:val="18"/>
        </w:rPr>
      </w:pPr>
      <w:r w:rsidRPr="003B0027">
        <w:rPr>
          <w:rFonts w:ascii="Bookman Old Style" w:hAnsi="Bookman Old Style" w:cstheme="minorHAnsi"/>
          <w:b/>
          <w:sz w:val="18"/>
          <w:szCs w:val="18"/>
        </w:rPr>
        <w:t>INTRODUÇÃO</w:t>
      </w:r>
    </w:p>
    <w:p w:rsidR="00696CD0" w:rsidRPr="003B0027" w:rsidRDefault="00696CD0" w:rsidP="00696CD0">
      <w:pPr>
        <w:spacing w:before="240" w:after="240"/>
        <w:ind w:right="-1"/>
        <w:jc w:val="both"/>
        <w:rPr>
          <w:rFonts w:ascii="Bookman Old Style" w:hAnsi="Bookman Old Style" w:cstheme="minorHAnsi"/>
          <w:sz w:val="18"/>
          <w:szCs w:val="18"/>
        </w:rPr>
      </w:pPr>
      <w:r w:rsidRPr="003B0027">
        <w:rPr>
          <w:rFonts w:ascii="Bookman Old Style" w:hAnsi="Bookman Old Style" w:cstheme="minorHAnsi"/>
          <w:sz w:val="18"/>
          <w:szCs w:val="18"/>
        </w:rPr>
        <w:t>Conforme a Lei nº 14.133, de 2021, o</w:t>
      </w:r>
      <w:r w:rsidRPr="003B0027">
        <w:rPr>
          <w:rFonts w:ascii="Bookman Old Style" w:hAnsi="Bookman Old Style" w:cstheme="minorHAnsi"/>
          <w:sz w:val="18"/>
          <w:szCs w:val="18"/>
          <w:shd w:val="clear" w:color="auto" w:fill="FFFFFF"/>
        </w:rPr>
        <w:t xml:space="preserve">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Neste sentido, o</w:t>
      </w:r>
      <w:r w:rsidRPr="003B0027">
        <w:rPr>
          <w:rFonts w:ascii="Bookman Old Style" w:eastAsia="Times New Roman" w:hAnsi="Bookman Old Style" w:cstheme="minorHAnsi"/>
          <w:spacing w:val="1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presente</w:t>
      </w:r>
      <w:r w:rsidRPr="003B0027">
        <w:rPr>
          <w:rFonts w:ascii="Bookman Old Style" w:eastAsia="Times New Roman" w:hAnsi="Bookman Old Style" w:cstheme="minorHAnsi"/>
          <w:spacing w:val="1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documento</w:t>
      </w:r>
      <w:r w:rsidRPr="003B0027">
        <w:rPr>
          <w:rFonts w:ascii="Bookman Old Style" w:eastAsia="Times New Roman" w:hAnsi="Bookman Old Style" w:cstheme="minorHAnsi"/>
          <w:spacing w:val="1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contempla </w:t>
      </w:r>
      <w:r w:rsidRPr="003B0027">
        <w:rPr>
          <w:rFonts w:ascii="Bookman Old Style" w:eastAsia="Times New Roman" w:hAnsi="Bookman Old Style" w:cstheme="minorHAnsi"/>
          <w:spacing w:val="-1"/>
          <w:sz w:val="18"/>
          <w:szCs w:val="18"/>
          <w:lang w:val="pt-PT"/>
        </w:rPr>
        <w:t>estudos</w:t>
      </w:r>
      <w:r w:rsidRPr="003B0027">
        <w:rPr>
          <w:rFonts w:ascii="Bookman Old Style" w:eastAsia="Times New Roman" w:hAnsi="Bookman Old Style" w:cstheme="minorHAnsi"/>
          <w:spacing w:val="-13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pacing w:val="-1"/>
          <w:sz w:val="18"/>
          <w:szCs w:val="18"/>
          <w:lang w:val="pt-PT"/>
        </w:rPr>
        <w:t>para</w:t>
      </w:r>
      <w:r w:rsidRPr="003B0027">
        <w:rPr>
          <w:rFonts w:ascii="Bookman Old Style" w:eastAsia="Times New Roman" w:hAnsi="Bookman Old Style" w:cstheme="minorHAnsi"/>
          <w:spacing w:val="-10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pacing w:val="-1"/>
          <w:sz w:val="18"/>
          <w:szCs w:val="18"/>
          <w:lang w:val="pt-PT"/>
        </w:rPr>
        <w:t>a</w:t>
      </w:r>
      <w:r w:rsidRPr="003B0027">
        <w:rPr>
          <w:rFonts w:ascii="Bookman Old Style" w:eastAsia="Times New Roman" w:hAnsi="Bookman Old Style" w:cstheme="minorHAnsi"/>
          <w:spacing w:val="-14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pacing w:val="-1"/>
          <w:sz w:val="18"/>
          <w:szCs w:val="18"/>
          <w:lang w:val="pt-PT"/>
        </w:rPr>
        <w:t>contratação</w:t>
      </w:r>
      <w:r w:rsidRPr="003B0027">
        <w:rPr>
          <w:rFonts w:ascii="Bookman Old Style" w:eastAsia="Times New Roman" w:hAnsi="Bookman Old Style" w:cstheme="minorHAnsi"/>
          <w:spacing w:val="-12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de</w:t>
      </w:r>
      <w:r w:rsidRPr="003B0027">
        <w:rPr>
          <w:rFonts w:ascii="Bookman Old Style" w:eastAsia="Times New Roman" w:hAnsi="Bookman Old Style" w:cstheme="minorHAnsi"/>
          <w:spacing w:val="-11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solução</w:t>
      </w:r>
      <w:r w:rsidRPr="003B0027">
        <w:rPr>
          <w:rFonts w:ascii="Bookman Old Style" w:eastAsia="Times New Roman" w:hAnsi="Bookman Old Style" w:cstheme="minorHAnsi"/>
          <w:spacing w:val="-12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que</w:t>
      </w:r>
      <w:r w:rsidRPr="003B0027">
        <w:rPr>
          <w:rFonts w:ascii="Bookman Old Style" w:eastAsia="Times New Roman" w:hAnsi="Bookman Old Style" w:cstheme="minorHAnsi"/>
          <w:spacing w:val="-12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atenderá</w:t>
      </w:r>
      <w:r w:rsidRPr="003B0027">
        <w:rPr>
          <w:rFonts w:ascii="Bookman Old Style" w:eastAsia="Times New Roman" w:hAnsi="Bookman Old Style" w:cstheme="minorHAnsi"/>
          <w:spacing w:val="-14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à</w:t>
      </w:r>
      <w:r w:rsidRPr="003B0027">
        <w:rPr>
          <w:rFonts w:ascii="Bookman Old Style" w:eastAsia="Times New Roman" w:hAnsi="Bookman Old Style" w:cstheme="minorHAnsi"/>
          <w:spacing w:val="-10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necessidade especificada no documento de formalização da demanda anexo, e tem por finalidade estudá-la detalhadamente e identificar a</w:t>
      </w:r>
      <w:r w:rsidRPr="003B0027">
        <w:rPr>
          <w:rFonts w:ascii="Bookman Old Style" w:eastAsia="Times New Roman" w:hAnsi="Bookman Old Style" w:cstheme="minorHAnsi"/>
          <w:spacing w:val="-3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melhor</w:t>
      </w:r>
      <w:r w:rsidRPr="003B0027">
        <w:rPr>
          <w:rFonts w:ascii="Bookman Old Style" w:eastAsia="Times New Roman" w:hAnsi="Bookman Old Style" w:cstheme="minorHAnsi"/>
          <w:spacing w:val="-3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solução</w:t>
      </w:r>
      <w:r w:rsidRPr="003B0027">
        <w:rPr>
          <w:rFonts w:ascii="Bookman Old Style" w:eastAsia="Times New Roman" w:hAnsi="Bookman Old Style" w:cstheme="minorHAnsi"/>
          <w:spacing w:val="-5"/>
          <w:sz w:val="18"/>
          <w:szCs w:val="18"/>
          <w:lang w:val="pt-PT"/>
        </w:rPr>
        <w:t xml:space="preserve"> existente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no mercado</w:t>
      </w:r>
      <w:r w:rsidRPr="003B0027">
        <w:rPr>
          <w:rFonts w:ascii="Bookman Old Style" w:eastAsia="Times New Roman" w:hAnsi="Bookman Old Style" w:cstheme="minorHAnsi"/>
          <w:spacing w:val="1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para</w:t>
      </w:r>
      <w:r w:rsidRPr="003B0027">
        <w:rPr>
          <w:rFonts w:ascii="Bookman Old Style" w:eastAsia="Times New Roman" w:hAnsi="Bookman Old Style" w:cstheme="minorHAnsi"/>
          <w:spacing w:val="-3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supri-la,</w:t>
      </w:r>
      <w:r w:rsidRPr="003B0027">
        <w:rPr>
          <w:rFonts w:ascii="Bookman Old Style" w:eastAsia="Times New Roman" w:hAnsi="Bookman Old Style" w:cstheme="minorHAnsi"/>
          <w:spacing w:val="-4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em</w:t>
      </w:r>
      <w:r w:rsidRPr="003B0027">
        <w:rPr>
          <w:rFonts w:ascii="Bookman Old Style" w:eastAsia="Times New Roman" w:hAnsi="Bookman Old Style" w:cstheme="minorHAnsi"/>
          <w:spacing w:val="-3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conformidade com as</w:t>
      </w:r>
      <w:r w:rsidRPr="003B0027">
        <w:rPr>
          <w:rFonts w:ascii="Bookman Old Style" w:eastAsia="Times New Roman" w:hAnsi="Bookman Old Style" w:cstheme="minorHAnsi"/>
          <w:spacing w:val="-4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normas</w:t>
      </w:r>
      <w:r w:rsidRPr="003B0027">
        <w:rPr>
          <w:rFonts w:ascii="Bookman Old Style" w:eastAsia="Times New Roman" w:hAnsi="Bookman Old Style" w:cstheme="minorHAnsi"/>
          <w:spacing w:val="-2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e</w:t>
      </w:r>
      <w:r w:rsidRPr="003B0027">
        <w:rPr>
          <w:rFonts w:ascii="Bookman Old Style" w:eastAsia="Times New Roman" w:hAnsi="Bookman Old Style" w:cstheme="minorHAnsi"/>
          <w:spacing w:val="-4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princípios</w:t>
      </w:r>
      <w:r w:rsidRPr="003B0027">
        <w:rPr>
          <w:rFonts w:ascii="Bookman Old Style" w:eastAsia="Times New Roman" w:hAnsi="Bookman Old Style" w:cstheme="minorHAnsi"/>
          <w:spacing w:val="-4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que</w:t>
      </w:r>
      <w:proofErr w:type="gramStart"/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pacing w:val="-52"/>
          <w:sz w:val="18"/>
          <w:szCs w:val="18"/>
          <w:lang w:val="pt-PT"/>
        </w:rPr>
        <w:t xml:space="preserve"> </w:t>
      </w:r>
      <w:proofErr w:type="gramEnd"/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regem a</w:t>
      </w:r>
      <w:r w:rsidRPr="003B0027">
        <w:rPr>
          <w:rFonts w:ascii="Bookman Old Style" w:eastAsia="Times New Roman" w:hAnsi="Bookman Old Style" w:cstheme="minorHAnsi"/>
          <w:spacing w:val="-2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Administração</w:t>
      </w:r>
      <w:r w:rsidRPr="003B0027">
        <w:rPr>
          <w:rFonts w:ascii="Bookman Old Style" w:eastAsia="Times New Roman" w:hAnsi="Bookman Old Style" w:cstheme="minorHAnsi"/>
          <w:spacing w:val="-1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Pública.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-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DESCRIÇÃO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NECESSIDADE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Com a presente contratação busca-se assegurar a oferta contínua aos pacientes que requerem o uso de gás medicinal (oxigênio), tanto profilático quanto paliativo, ofertando uma assistência adequada, e diminuindo o risco de morte dos pacientes, conforme a necessidade do atendimento podendo ser imediato, prioritário, domiciliar e nas ambulâncias que fazem transport</w:t>
      </w:r>
      <w:r w:rsidR="00767DE1">
        <w:rPr>
          <w:rFonts w:ascii="Bookman Old Style" w:eastAsia="Times New Roman" w:hAnsi="Bookman Old Style" w:cstheme="minorHAnsi"/>
          <w:sz w:val="18"/>
          <w:szCs w:val="18"/>
          <w:lang w:val="pt-PT"/>
        </w:rPr>
        <w:t>e de pacientes, com prescrição m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édica.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proofErr w:type="gramStart"/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Isto posto</w:t>
      </w:r>
      <w:proofErr w:type="gramEnd"/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, observando que beneficios diretos e indiretos relacionan-se principalmente com a salvaguarda da integridade fisica dos pacientes, cujo diagnostico e tratamento necessitas dos materiais que integram este processo licitatorio. 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ALINHAMENTO</w:t>
      </w:r>
      <w:r w:rsidRPr="003B0027">
        <w:rPr>
          <w:rFonts w:ascii="Bookman Old Style" w:eastAsiaTheme="majorEastAsia" w:hAnsi="Bookman Old Style" w:cstheme="minorHAnsi"/>
          <w:b/>
          <w:spacing w:val="-1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COM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PCA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Aplica-se, sendo que está prevista no Plano de Contratações Anual 2024 formalizado pela Secretaria de Administração, Departamento de Licitações, além dos planos de aplicação de recursos destinados a Secretaria de Saúde.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REQUISITOS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Pr="003B0027">
        <w:rPr>
          <w:rFonts w:ascii="Bookman Old Style" w:eastAsiaTheme="majorEastAsia" w:hAnsi="Bookman Old Style" w:cstheme="minorHAnsi"/>
          <w:b/>
          <w:spacing w:val="-2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CONTRATAÇÃO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No processo de aquisição, os requisitos técnicos exigidos são uma segurança para garantir a qualidade dos materiais a serem disponibilizado ao usuário do SUS. Assim conforme orientações básicas do Ministério da Saúde é necessario: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Sendo documentos Técnicos Da Empresa Para Habilitação: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lastRenderedPageBreak/>
        <w:t>•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ab/>
        <w:t>Cópia da Autorização de Funcionamento – AFE vigente, pertinente ao objeto licitado, contendo o número de Registro do Ministério da Saúde ou cópia do Diário Oficial da União, expedida pela ANVISA, legível, devendo ser destacada a informação referente à empresa. No que concerne à autorização das empresas fabricantes de gases cabe observar a RDC nº 671, de 30 de março de 2022, que dispõe sobre os critérios técnicos para a concessão de Autorização de Funcionamento (AFE) de empresas fabricantes e que envasam gases medicinais.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•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ab/>
        <w:t>Alvará de Licença atualizado, expedido pela Vigilância Sanitária Estadual ou Municipal da sede da licitante, de acordo com o Código Sanitário e legislação complementar.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•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ab/>
        <w:t>Exigência do registro sanitário do produto pela ANVISA ou INMETRO conforme legislação vigente.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•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ab/>
        <w:t>Prazo de validade dos materiais não deverá ser inferior a 75% da validade total, a contar da data de entrega do produto;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•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ab/>
        <w:t>Atestado de Capacidade Técnica fornecida por pessoa jurídica de direito público ou privado, que comprove que a empresa já prestou ou presta serviços idênticos ou similares aos do objeto da presente licitação, de maneira satisfatória e nos prazos estabelecidos.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Bem como Documentos Técnicos Para Aceitação Da Proposta: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•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ab/>
        <w:t>Contatos de email, valido, para assuntos burocraticos de licitação, pedido e faturamento, bem como contato de whatsapp da empresa.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Tais requisitos técnicos são indispensáveis, pois a exigência dos mesmos demonstra preocupação com a qualidade e eficácia no tratamento do usuário, bem como economia para o setor.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6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ESTIMATIVA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DAS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QUANTIDADES</w:t>
      </w:r>
    </w:p>
    <w:p w:rsidR="00696CD0" w:rsidRDefault="00696CD0" w:rsidP="00696CD0">
      <w:pPr>
        <w:spacing w:before="240" w:after="240" w:line="259" w:lineRule="auto"/>
        <w:jc w:val="both"/>
        <w:rPr>
          <w:rFonts w:ascii="Bookman Old Style" w:hAnsi="Bookman Old Style"/>
          <w:sz w:val="18"/>
          <w:szCs w:val="18"/>
        </w:rPr>
      </w:pPr>
      <w:r w:rsidRPr="003B0027">
        <w:rPr>
          <w:rFonts w:ascii="Bookman Old Style" w:hAnsi="Bookman Old Style"/>
          <w:sz w:val="18"/>
          <w:szCs w:val="18"/>
        </w:rPr>
        <w:t xml:space="preserve">A quantidade de </w:t>
      </w:r>
      <w:r w:rsidR="00767DE1">
        <w:rPr>
          <w:rFonts w:ascii="Bookman Old Style" w:hAnsi="Bookman Old Style"/>
          <w:sz w:val="18"/>
          <w:szCs w:val="18"/>
        </w:rPr>
        <w:t>oxigênio</w:t>
      </w:r>
      <w:r w:rsidRPr="003B0027">
        <w:rPr>
          <w:rFonts w:ascii="Bookman Old Style" w:hAnsi="Bookman Old Style"/>
          <w:sz w:val="18"/>
          <w:szCs w:val="18"/>
        </w:rPr>
        <w:t xml:space="preserve"> prevista neste processo é com fundamento nas demandas recebidas neste último ano para atender as </w:t>
      </w:r>
      <w:r w:rsidR="00767DE1">
        <w:rPr>
          <w:rFonts w:ascii="Bookman Old Style" w:hAnsi="Bookman Old Style"/>
          <w:sz w:val="18"/>
          <w:szCs w:val="18"/>
        </w:rPr>
        <w:t xml:space="preserve">Unidades de Saúde do Município, transportes de pacientes, bem como aos pacientes que necessitaram fazer o uso de oxigênio domiciliar.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851"/>
        <w:gridCol w:w="2409"/>
        <w:gridCol w:w="851"/>
        <w:gridCol w:w="992"/>
        <w:gridCol w:w="1559"/>
        <w:gridCol w:w="1276"/>
      </w:tblGrid>
      <w:tr w:rsidR="0047357A" w:rsidRPr="00DA59EA" w:rsidTr="00767DE1">
        <w:tc>
          <w:tcPr>
            <w:tcW w:w="236" w:type="dxa"/>
            <w:shd w:val="clear" w:color="auto" w:fill="auto"/>
          </w:tcPr>
          <w:p w:rsidR="0047357A" w:rsidRPr="00DA59EA" w:rsidRDefault="0047357A" w:rsidP="00FE52B5">
            <w:pPr>
              <w:pStyle w:val="ParagraphStyle"/>
              <w:tabs>
                <w:tab w:val="left" w:pos="1017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1" w:type="dxa"/>
            <w:gridSpan w:val="7"/>
            <w:shd w:val="clear" w:color="auto" w:fill="auto"/>
          </w:tcPr>
          <w:p w:rsidR="0047357A" w:rsidRPr="0047357A" w:rsidRDefault="0047357A" w:rsidP="00FE52B5">
            <w:pPr>
              <w:pStyle w:val="ParagraphStyle"/>
              <w:tabs>
                <w:tab w:val="left" w:pos="10170"/>
              </w:tabs>
              <w:jc w:val="both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b/>
                <w:sz w:val="18"/>
                <w:szCs w:val="18"/>
              </w:rPr>
              <w:t>LOTE 1 – LOTE ÚNICO</w:t>
            </w:r>
          </w:p>
        </w:tc>
      </w:tr>
      <w:tr w:rsidR="00846A91" w:rsidRPr="00DA59EA" w:rsidTr="00767DE1">
        <w:tc>
          <w:tcPr>
            <w:tcW w:w="709" w:type="dxa"/>
            <w:gridSpan w:val="2"/>
            <w:shd w:val="clear" w:color="auto" w:fill="auto"/>
          </w:tcPr>
          <w:p w:rsidR="00846A91" w:rsidRPr="0047357A" w:rsidRDefault="00846A91" w:rsidP="00250E15">
            <w:pPr>
              <w:adjustRightInd w:val="0"/>
              <w:jc w:val="center"/>
              <w:rPr>
                <w:rFonts w:ascii="Bookman Old Style" w:eastAsia="Calibri" w:hAnsi="Bookman Old Style"/>
                <w:sz w:val="18"/>
                <w:szCs w:val="18"/>
                <w:lang w:val="x-none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adjustRightInd w:val="0"/>
              <w:jc w:val="center"/>
              <w:rPr>
                <w:rFonts w:ascii="Bookman Old Style" w:eastAsia="Calibri" w:hAnsi="Bookman Old Style"/>
                <w:sz w:val="18"/>
                <w:szCs w:val="18"/>
                <w:lang w:val="x-none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Código do produto/</w:t>
            </w:r>
          </w:p>
          <w:p w:rsidR="00846A91" w:rsidRPr="0047357A" w:rsidRDefault="00846A91" w:rsidP="00250E15">
            <w:pPr>
              <w:adjustRightInd w:val="0"/>
              <w:jc w:val="center"/>
              <w:rPr>
                <w:rFonts w:ascii="Bookman Old Style" w:eastAsia="Calibri" w:hAnsi="Bookman Old Style"/>
                <w:sz w:val="18"/>
                <w:szCs w:val="18"/>
                <w:lang w:val="x-none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Serviço</w:t>
            </w:r>
          </w:p>
        </w:tc>
        <w:tc>
          <w:tcPr>
            <w:tcW w:w="2409" w:type="dxa"/>
            <w:shd w:val="clear" w:color="auto" w:fill="auto"/>
          </w:tcPr>
          <w:p w:rsidR="00846A91" w:rsidRPr="0047357A" w:rsidRDefault="00846A91" w:rsidP="00250E15">
            <w:pPr>
              <w:adjustRightInd w:val="0"/>
              <w:jc w:val="center"/>
              <w:rPr>
                <w:rFonts w:ascii="Bookman Old Style" w:eastAsia="Calibri" w:hAnsi="Bookman Old Style"/>
                <w:sz w:val="18"/>
                <w:szCs w:val="18"/>
                <w:lang w:val="x-none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Nome do produto/serviço</w:t>
            </w:r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adjustRightInd w:val="0"/>
              <w:jc w:val="center"/>
              <w:rPr>
                <w:rFonts w:ascii="Bookman Old Style" w:eastAsia="Calibri" w:hAnsi="Bookman Old Style"/>
                <w:sz w:val="18"/>
                <w:szCs w:val="18"/>
                <w:lang w:val="x-none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Quantidade</w:t>
            </w:r>
          </w:p>
        </w:tc>
        <w:tc>
          <w:tcPr>
            <w:tcW w:w="992" w:type="dxa"/>
            <w:shd w:val="clear" w:color="auto" w:fill="auto"/>
          </w:tcPr>
          <w:p w:rsidR="00846A91" w:rsidRPr="0047357A" w:rsidRDefault="00846A91" w:rsidP="00250E15">
            <w:pPr>
              <w:adjustRightInd w:val="0"/>
              <w:rPr>
                <w:rFonts w:ascii="Bookman Old Style" w:eastAsia="Calibri" w:hAnsi="Bookman Old Style"/>
                <w:sz w:val="18"/>
                <w:szCs w:val="18"/>
                <w:lang w:val="x-none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Unidade</w:t>
            </w:r>
          </w:p>
        </w:tc>
        <w:tc>
          <w:tcPr>
            <w:tcW w:w="1559" w:type="dxa"/>
            <w:shd w:val="clear" w:color="auto" w:fill="auto"/>
          </w:tcPr>
          <w:p w:rsidR="00846A91" w:rsidRPr="0047357A" w:rsidRDefault="00846A91" w:rsidP="00250E15">
            <w:pPr>
              <w:adjustRightInd w:val="0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</w:rPr>
              <w:t>Valor estimado R$</w:t>
            </w:r>
          </w:p>
        </w:tc>
        <w:tc>
          <w:tcPr>
            <w:tcW w:w="1276" w:type="dxa"/>
            <w:shd w:val="clear" w:color="auto" w:fill="auto"/>
          </w:tcPr>
          <w:p w:rsidR="00846A91" w:rsidRPr="0047357A" w:rsidRDefault="00846A91" w:rsidP="00846A91">
            <w:pPr>
              <w:adjustRightInd w:val="0"/>
              <w:ind w:left="67" w:hanging="67"/>
              <w:jc w:val="center"/>
              <w:rPr>
                <w:rFonts w:ascii="Bookman Old Style" w:eastAsia="Calibri" w:hAnsi="Bookman Old Style"/>
                <w:sz w:val="18"/>
                <w:szCs w:val="18"/>
              </w:rPr>
            </w:pPr>
            <w:r w:rsidRPr="0047357A">
              <w:rPr>
                <w:rFonts w:ascii="Bookman Old Style" w:eastAsia="Calibri" w:hAnsi="Bookman Old Style"/>
                <w:sz w:val="18"/>
                <w:szCs w:val="18"/>
                <w:lang w:val="x-none"/>
              </w:rPr>
              <w:t>Preço máximo total</w:t>
            </w:r>
            <w:r w:rsidRPr="0047357A">
              <w:rPr>
                <w:rFonts w:ascii="Bookman Old Style" w:eastAsia="Calibri" w:hAnsi="Bookman Old Style"/>
                <w:sz w:val="18"/>
                <w:szCs w:val="18"/>
              </w:rPr>
              <w:t xml:space="preserve"> R$</w:t>
            </w:r>
          </w:p>
        </w:tc>
      </w:tr>
      <w:tr w:rsidR="00846A91" w:rsidRPr="00DA59EA" w:rsidTr="00767DE1">
        <w:tc>
          <w:tcPr>
            <w:tcW w:w="709" w:type="dxa"/>
            <w:gridSpan w:val="2"/>
            <w:shd w:val="clear" w:color="auto" w:fill="auto"/>
            <w:hideMark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gramStart"/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OXIGÊNIO MEDICINAL COMPRIMIDO 1M3 - RECARGA Especificações: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Fórmula molecular O2;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Peso molecular 32g/mol;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Concentração mínima de 99,0%;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Gás comprimido, incolor e inodoro;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- A granel, sendo o abastecimento feito diretamente em cilindros;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Cilindros de 1 metro cúbico.</w:t>
            </w:r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846A91" w:rsidRPr="0047357A" w:rsidRDefault="00846A91" w:rsidP="0047357A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Recarga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ind w:left="720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144,62</w:t>
            </w:r>
          </w:p>
        </w:tc>
        <w:tc>
          <w:tcPr>
            <w:tcW w:w="1276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14.462,00</w:t>
            </w:r>
          </w:p>
        </w:tc>
      </w:tr>
      <w:tr w:rsidR="00846A91" w:rsidRPr="00DA59EA" w:rsidTr="00767DE1">
        <w:tc>
          <w:tcPr>
            <w:tcW w:w="709" w:type="dxa"/>
            <w:gridSpan w:val="2"/>
            <w:shd w:val="clear" w:color="auto" w:fill="auto"/>
            <w:hideMark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gramStart"/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OXIGÊNIO MEDICINAL COMPRIMIDO 4M3 - RECARGA Especificações: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Fórmula molecular O2;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Peso molecular 32g/mol;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Concentração mínima de 99,0%;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Gás comprimido, incolor e inodoro;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A granel, sendo o abastecimento feito diretamente em cilindros;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Cilindros de 4 metros cúbicos.</w:t>
            </w:r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Recarga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191,50</w:t>
            </w:r>
          </w:p>
        </w:tc>
        <w:tc>
          <w:tcPr>
            <w:tcW w:w="1276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19.150,00</w:t>
            </w:r>
          </w:p>
        </w:tc>
      </w:tr>
      <w:tr w:rsidR="00846A91" w:rsidRPr="00DA59EA" w:rsidTr="00767DE1">
        <w:tc>
          <w:tcPr>
            <w:tcW w:w="709" w:type="dxa"/>
            <w:gridSpan w:val="2"/>
            <w:shd w:val="clear" w:color="auto" w:fill="auto"/>
            <w:hideMark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gramStart"/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OXIGÊNIO MEDICINAL COMPRIMIDO 7M3 - RECARGA Especificações: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Fórmula molecular O2;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Peso molecular 32g/mol;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Concentração mínima de 99,0%;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Gás comprimido, incolor e inodoro;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A granel, sendo o abastecimento feito diretamente em cilindros;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- Cilindros de 7 metros cúbicos.</w:t>
            </w:r>
          </w:p>
        </w:tc>
        <w:tc>
          <w:tcPr>
            <w:tcW w:w="851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150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Recarga</w:t>
            </w:r>
          </w:p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214,45</w:t>
            </w:r>
          </w:p>
        </w:tc>
        <w:tc>
          <w:tcPr>
            <w:tcW w:w="1276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spacing w:line="256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32.167,50</w:t>
            </w:r>
          </w:p>
        </w:tc>
      </w:tr>
      <w:tr w:rsidR="00846A91" w:rsidRPr="00DA59EA" w:rsidTr="00767DE1">
        <w:trPr>
          <w:trHeight w:val="107"/>
        </w:trPr>
        <w:tc>
          <w:tcPr>
            <w:tcW w:w="1560" w:type="dxa"/>
            <w:gridSpan w:val="3"/>
            <w:shd w:val="clear" w:color="auto" w:fill="auto"/>
          </w:tcPr>
          <w:p w:rsidR="00846A91" w:rsidRPr="0047357A" w:rsidRDefault="00846A91" w:rsidP="00250E15">
            <w:pPr>
              <w:pStyle w:val="ParagraphStyle"/>
              <w:tabs>
                <w:tab w:val="left" w:pos="10170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846A91" w:rsidRPr="0047357A" w:rsidRDefault="00846A91" w:rsidP="00250E15">
            <w:pPr>
              <w:pStyle w:val="ParagraphStyle"/>
              <w:tabs>
                <w:tab w:val="left" w:pos="10170"/>
              </w:tabs>
              <w:jc w:val="right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TOTAL R$</w:t>
            </w:r>
          </w:p>
        </w:tc>
        <w:tc>
          <w:tcPr>
            <w:tcW w:w="1276" w:type="dxa"/>
            <w:shd w:val="clear" w:color="auto" w:fill="auto"/>
          </w:tcPr>
          <w:p w:rsidR="00846A91" w:rsidRPr="0047357A" w:rsidRDefault="00846A91" w:rsidP="00250E15">
            <w:pPr>
              <w:pStyle w:val="ParagraphStyle"/>
              <w:tabs>
                <w:tab w:val="left" w:pos="10170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7357A">
              <w:rPr>
                <w:rFonts w:ascii="Bookman Old Style" w:hAnsi="Bookman Old Style" w:cs="Times New Roman"/>
                <w:sz w:val="18"/>
                <w:szCs w:val="18"/>
              </w:rPr>
              <w:t>65.779,50</w:t>
            </w:r>
          </w:p>
        </w:tc>
      </w:tr>
    </w:tbl>
    <w:p w:rsidR="00846A91" w:rsidRPr="003B0027" w:rsidRDefault="00846A91" w:rsidP="00696CD0">
      <w:pPr>
        <w:spacing w:before="240" w:after="240" w:line="259" w:lineRule="auto"/>
        <w:jc w:val="both"/>
        <w:rPr>
          <w:rFonts w:ascii="Bookman Old Style" w:hAnsi="Bookman Old Style"/>
          <w:sz w:val="18"/>
          <w:szCs w:val="18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LEVANTAMENTO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DE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MERCADO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Os itens solicitados constituem materiais que são comumente comprados para a rede municipal de saude e visam atender as necessidades da prestação de serviços de assistencia á saude da população, sendo assim de ampla oferta, pois se tratam de itens usuais de mercado as empresas especializadas e registradas para o fornecimento dos mesmos e passiveis de descrições sucintas, podendo, portanto ser licitados por meio de Pregão Eletronico. 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ESTIMATIVA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DO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PREÇO</w:t>
      </w:r>
      <w:r w:rsidRPr="003B0027">
        <w:rPr>
          <w:rFonts w:ascii="Bookman Old Style" w:eastAsiaTheme="majorEastAsia" w:hAnsi="Bookman Old Style" w:cstheme="minorHAnsi"/>
          <w:b/>
          <w:spacing w:val="-2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CONTRATAÇÃO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A estimativa de preços</w:t>
      </w:r>
      <w:proofErr w:type="gramStart"/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 </w:t>
      </w:r>
      <w:proofErr w:type="gramEnd"/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visa à escolha da melhor solução para a contratação e à análise de sua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lastRenderedPageBreak/>
        <w:t>viabilidade econômica. O orçamento estimativo deverá compor o Termo de Referência ou o Projeto Básico.</w:t>
      </w:r>
    </w:p>
    <w:p w:rsidR="00696CD0" w:rsidRPr="003B0027" w:rsidRDefault="00696CD0" w:rsidP="00696CD0">
      <w:pPr>
        <w:spacing w:before="240" w:after="240" w:line="259" w:lineRule="auto"/>
        <w:jc w:val="both"/>
        <w:rPr>
          <w:rFonts w:ascii="Bookman Old Style" w:hAnsi="Bookman Old Style" w:cstheme="minorHAnsi"/>
          <w:sz w:val="18"/>
          <w:szCs w:val="18"/>
        </w:rPr>
      </w:pPr>
      <w:r w:rsidRPr="003B0027">
        <w:rPr>
          <w:rFonts w:ascii="Bookman Old Style" w:hAnsi="Bookman Old Style" w:cstheme="minorHAnsi"/>
          <w:sz w:val="18"/>
          <w:szCs w:val="18"/>
        </w:rPr>
        <w:t xml:space="preserve">Assim, valor estimado da contratação é de R$ </w:t>
      </w:r>
      <w:r w:rsidR="00846A91" w:rsidRPr="00E2013E">
        <w:rPr>
          <w:rFonts w:ascii="Bookman Old Style" w:hAnsi="Bookman Old Style" w:cstheme="minorHAnsi"/>
          <w:sz w:val="18"/>
          <w:szCs w:val="18"/>
        </w:rPr>
        <w:t>65.779,50</w:t>
      </w:r>
      <w:r w:rsidRPr="00E2013E">
        <w:rPr>
          <w:rFonts w:ascii="Bookman Old Style" w:hAnsi="Bookman Old Style" w:cstheme="minorHAnsi"/>
          <w:sz w:val="18"/>
          <w:szCs w:val="18"/>
        </w:rPr>
        <w:t xml:space="preserve"> (</w:t>
      </w:r>
      <w:r w:rsidR="00846A91" w:rsidRPr="00E2013E">
        <w:rPr>
          <w:rFonts w:ascii="Bookman Old Style" w:hAnsi="Bookman Old Style" w:cstheme="minorHAnsi"/>
          <w:sz w:val="18"/>
          <w:szCs w:val="18"/>
        </w:rPr>
        <w:t>sessenta e cinco</w:t>
      </w:r>
      <w:r w:rsidRPr="00E2013E">
        <w:rPr>
          <w:rFonts w:ascii="Bookman Old Style" w:hAnsi="Bookman Old Style" w:cstheme="minorHAnsi"/>
          <w:sz w:val="18"/>
          <w:szCs w:val="18"/>
        </w:rPr>
        <w:t xml:space="preserve"> mil </w:t>
      </w:r>
      <w:r w:rsidR="00E2013E" w:rsidRPr="00E2013E">
        <w:rPr>
          <w:rFonts w:ascii="Bookman Old Style" w:hAnsi="Bookman Old Style" w:cstheme="minorHAnsi"/>
          <w:sz w:val="18"/>
          <w:szCs w:val="18"/>
        </w:rPr>
        <w:t>setecentos</w:t>
      </w:r>
      <w:r w:rsidR="00846A91" w:rsidRPr="00E2013E">
        <w:rPr>
          <w:rFonts w:ascii="Bookman Old Style" w:hAnsi="Bookman Old Style" w:cstheme="minorHAnsi"/>
          <w:sz w:val="18"/>
          <w:szCs w:val="18"/>
        </w:rPr>
        <w:t xml:space="preserve"> e setenta e nove</w:t>
      </w:r>
      <w:r w:rsidRPr="00E2013E">
        <w:rPr>
          <w:rFonts w:ascii="Bookman Old Style" w:hAnsi="Bookman Old Style" w:cstheme="minorHAnsi"/>
          <w:sz w:val="18"/>
          <w:szCs w:val="18"/>
        </w:rPr>
        <w:t xml:space="preserve"> reais e cinquenta centavos), conforme tabela do item </w:t>
      </w:r>
      <w:proofErr w:type="gramStart"/>
      <w:r w:rsidRPr="00E2013E">
        <w:rPr>
          <w:rFonts w:ascii="Bookman Old Style" w:hAnsi="Bookman Old Style" w:cstheme="minorHAnsi"/>
          <w:sz w:val="18"/>
          <w:szCs w:val="18"/>
        </w:rPr>
        <w:t>4</w:t>
      </w:r>
      <w:proofErr w:type="gramEnd"/>
      <w:r w:rsidRPr="00E2013E">
        <w:rPr>
          <w:rFonts w:ascii="Bookman Old Style" w:hAnsi="Bookman Old Style" w:cstheme="minorHAnsi"/>
          <w:sz w:val="18"/>
          <w:szCs w:val="18"/>
        </w:rPr>
        <w:t xml:space="preserve"> do presente Estudo </w:t>
      </w:r>
      <w:r w:rsidRPr="003B0027">
        <w:rPr>
          <w:rFonts w:ascii="Bookman Old Style" w:hAnsi="Bookman Old Style" w:cstheme="minorHAnsi"/>
          <w:sz w:val="18"/>
          <w:szCs w:val="18"/>
        </w:rPr>
        <w:t>Técnico Preliminar, valores que foram obtidos através da media de preços  apos cotação com empresas privadas e media do bancos de preços.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-</w:t>
      </w:r>
      <w:r w:rsidRPr="003B0027">
        <w:rPr>
          <w:rFonts w:ascii="Bookman Old Style" w:eastAsiaTheme="majorEastAsia" w:hAnsi="Bookman Old Style" w:cstheme="minorHAnsi"/>
          <w:b/>
          <w:spacing w:val="-2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DESCRIÇÃO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Pr="003B0027">
        <w:rPr>
          <w:rFonts w:ascii="Bookman Old Style" w:eastAsiaTheme="majorEastAsia" w:hAnsi="Bookman Old Style" w:cstheme="minorHAnsi"/>
          <w:b/>
          <w:spacing w:val="-1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SOLUÇÃO</w:t>
      </w:r>
      <w:r w:rsidRPr="003B0027">
        <w:rPr>
          <w:rFonts w:ascii="Bookman Old Style" w:eastAsiaTheme="majorEastAsia" w:hAnsi="Bookman Old Style" w:cstheme="minorHAnsi"/>
          <w:b/>
          <w:spacing w:val="-2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COMO</w:t>
      </w:r>
      <w:r w:rsidRPr="003B0027">
        <w:rPr>
          <w:rFonts w:ascii="Bookman Old Style" w:eastAsiaTheme="majorEastAsia" w:hAnsi="Bookman Old Style" w:cstheme="minorHAnsi"/>
          <w:b/>
          <w:spacing w:val="-1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UM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TODO</w:t>
      </w:r>
    </w:p>
    <w:p w:rsidR="00A60D60" w:rsidRPr="003B0027" w:rsidRDefault="00696CD0" w:rsidP="00E2013E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A solução que visa atender a demanda </w:t>
      </w:r>
      <w:r w:rsidR="00A60D60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é a realização de procedimento de licitação, na modalidade pregão, sob a sua forma eletrônica, com adoção do critério de julgamento menor preço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, conforme os quantitativos definidos, </w:t>
      </w:r>
      <w:r w:rsidR="00A60D60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proporcionando assim uma melhor disputa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entre </w:t>
      </w:r>
      <w:r w:rsidR="00A60D60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fornecedores.</w:t>
      </w:r>
    </w:p>
    <w:p w:rsidR="00A60D60" w:rsidRPr="003B0027" w:rsidRDefault="00A60D60" w:rsidP="00E2013E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A entrega deverá ser efetuada no Almoxarifado do Posto de Saúde Central localizada junto a Unidade de Pronto Atendimento Estendido, </w:t>
      </w:r>
      <w:r w:rsidR="00767DE1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de forma parecelada no minimo </w:t>
      </w:r>
      <w:proofErr w:type="gramStart"/>
      <w:r w:rsidR="00767DE1">
        <w:rPr>
          <w:rFonts w:ascii="Bookman Old Style" w:eastAsia="Times New Roman" w:hAnsi="Bookman Old Style" w:cs="Times New Roman"/>
          <w:sz w:val="18"/>
          <w:szCs w:val="18"/>
          <w:lang w:val="pt-PT"/>
        </w:rPr>
        <w:t>1</w:t>
      </w:r>
      <w:proofErr w:type="gramEnd"/>
      <w:r w:rsidR="00767DE1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(uma) vez por semana, </w:t>
      </w:r>
      <w:bookmarkStart w:id="0" w:name="_GoBack"/>
      <w:bookmarkEnd w:id="0"/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no endereço Rua Santos Dumont, S/N, centro, neste município, Santo Antônio do Sudoeste-PR, em dias úteis, no horário das 07h30 às 11h00 e das 13h00 ás 16h30. Sendo que não serão recebidos fora dos horários estabelecidos, salvo em casos específicos e acordado previamente.</w:t>
      </w:r>
    </w:p>
    <w:p w:rsidR="00696CD0" w:rsidRPr="003B0027" w:rsidRDefault="00BE4B9B" w:rsidP="00E2013E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="Times New Roman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Os itens entregues devão estar acompanhados da Nota Fiscal e/ou de Prestação de Serviços que deverá ser emitida em nome do FUNDO MUNICIPAL DE SAÚDE, CNPJ 09.263.736/0001-27, RUA SANTOS DUMONT, 677, CENTRO, SANTO ANTONIO DO SUDOESTE – PR, CEP: 85.710-000, além das informações adicionais que se fizerem necessárias, deverá conter as informações do número do Pregão/Contrato e da ordem de compra ou empenho correspondente.</w:t>
      </w:r>
    </w:p>
    <w:p w:rsidR="00696CD0" w:rsidRPr="003B0027" w:rsidRDefault="00696CD0" w:rsidP="00E2013E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Não serão recebidos materiais que apresentarem prazo de vida util/validade inferior a 7</w:t>
      </w:r>
      <w:r w:rsidR="00BE4B9B"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5%</w:t>
      </w:r>
      <w:proofErr w:type="gramStart"/>
      <w:r w:rsidR="00BE4B9B"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(</w:t>
      </w:r>
      <w:proofErr w:type="gramEnd"/>
      <w:r w:rsidR="00BE4B9B"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>setenta e cinco</w:t>
      </w:r>
      <w:r w:rsidRPr="003B0027">
        <w:rPr>
          <w:rFonts w:ascii="Bookman Old Style" w:eastAsia="Times New Roman" w:hAnsi="Bookman Old Style" w:cs="Times New Roman"/>
          <w:sz w:val="18"/>
          <w:szCs w:val="18"/>
          <w:lang w:val="pt-PT"/>
        </w:rPr>
        <w:t xml:space="preserve"> por cento) do prazo total de validade.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JUSTIFICATIVA</w:t>
      </w:r>
      <w:r w:rsidRPr="003B0027">
        <w:rPr>
          <w:rFonts w:ascii="Bookman Old Style" w:eastAsiaTheme="majorEastAsia" w:hAnsi="Bookman Old Style" w:cstheme="minorHAnsi"/>
          <w:b/>
          <w:spacing w:val="-6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PARA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PARCELAMENTO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O parcelamento do objeto foi considerado viavel, tecnica e economicamente por ser composto de itens de natureza divisivel, uma vez que cada item possui aplicação individual, de maneira que tanto a aquisição quanto a utilização independe dos demais.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Ademais, podem ser fornecidos por empresas distintas e, desse modo, amplia-se a competição.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402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-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DEMONSTRAÇÃO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DOS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RESULTADOS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PRETENDIDOS</w:t>
      </w:r>
    </w:p>
    <w:p w:rsidR="00E339ED" w:rsidRPr="003B0027" w:rsidRDefault="00696CD0" w:rsidP="00E2013E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Pretende-se com a presente aquisição manter o abastecimento e reposição dos estoques de </w:t>
      </w:r>
      <w:r w:rsidR="00E339ED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gas medicinal oxigenio suprindo as demandas dos atendimentos.</w:t>
      </w:r>
    </w:p>
    <w:p w:rsidR="00696CD0" w:rsidRPr="003B0027" w:rsidRDefault="00696CD0" w:rsidP="00E2013E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Ponderamos que a falta desses materiais essenciais à saúde pública municipal representa eminente risco à saúde da população. Tal situação impõe, ao gestor público, o dever de agir com rapidez e celeridade, para suprir tais necessidades e principalmente atender ao disposto no texto constitucional, conforme se depreende da leitura do art. 196, Constituição Federal.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402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PROVIDÊNCIAS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PRÉVIAS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AO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CONTRATO</w:t>
      </w:r>
    </w:p>
    <w:p w:rsidR="00696CD0" w:rsidRPr="003B0027" w:rsidRDefault="00696CD0" w:rsidP="00696CD0">
      <w:pPr>
        <w:widowControl w:val="0"/>
        <w:spacing w:before="240" w:after="24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</w:t>
      </w:r>
      <w:r w:rsidR="00E339ED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Não se </w:t>
      </w:r>
      <w:r w:rsidR="00E2013E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aplica</w:t>
      </w:r>
      <w:r w:rsidR="00E339ED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a</w:t>
      </w:r>
      <w:r w:rsidRPr="003B0027">
        <w:rPr>
          <w:rFonts w:ascii="Bookman Old Style" w:eastAsia="Bookman Old Style" w:hAnsi="Bookman Old Style" w:cs="Bookman Old Style"/>
          <w:sz w:val="18"/>
          <w:szCs w:val="18"/>
        </w:rPr>
        <w:t xml:space="preserve"> presente aquisição </w:t>
      </w:r>
      <w:r w:rsidR="00E339ED" w:rsidRPr="003B0027">
        <w:rPr>
          <w:rFonts w:ascii="Bookman Old Style" w:eastAsia="Bookman Old Style" w:hAnsi="Bookman Old Style" w:cs="Bookman Old Style"/>
          <w:sz w:val="18"/>
          <w:szCs w:val="18"/>
        </w:rPr>
        <w:t>não requer providencias previas</w:t>
      </w:r>
      <w:r w:rsidRPr="003B0027">
        <w:rPr>
          <w:rFonts w:ascii="Bookman Old Style" w:eastAsia="Bookman Old Style" w:hAnsi="Bookman Old Style" w:cs="Bookman Old Style"/>
          <w:sz w:val="18"/>
          <w:szCs w:val="18"/>
        </w:rPr>
        <w:t>.</w:t>
      </w:r>
    </w:p>
    <w:p w:rsidR="00E339ED" w:rsidRPr="003B0027" w:rsidRDefault="00E339ED" w:rsidP="00696CD0">
      <w:pPr>
        <w:widowControl w:val="0"/>
        <w:spacing w:before="240" w:after="24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280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6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CONTRATAÇÕES</w:t>
      </w:r>
      <w:r w:rsidRPr="003B0027">
        <w:rPr>
          <w:rFonts w:ascii="Bookman Old Style" w:eastAsiaTheme="majorEastAsia" w:hAnsi="Bookman Old Style" w:cstheme="minorHAnsi"/>
          <w:b/>
          <w:spacing w:val="-6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CORRELATO-INTERDEPENDENTES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Não se aplica, o presente processo independe de outras contratações.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402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IMPACTOS</w:t>
      </w:r>
      <w:r w:rsidRPr="003B0027">
        <w:rPr>
          <w:rFonts w:ascii="Bookman Old Style" w:eastAsiaTheme="majorEastAsia" w:hAnsi="Bookman Old Style" w:cstheme="minorHAnsi"/>
          <w:b/>
          <w:spacing w:val="-4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AMBIENTAIS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Eventuais descartes de materiais usados, vencidos ou danificados serão feitos de acordo com a legislação vigente para produtos quimicos, por empresa especializada.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bookmarkStart w:id="1" w:name="art18§1xiii"/>
      <w:bookmarkEnd w:id="1"/>
    </w:p>
    <w:p w:rsidR="00696CD0" w:rsidRPr="003B0027" w:rsidRDefault="00696CD0" w:rsidP="00696CD0">
      <w:pPr>
        <w:keepNext/>
        <w:keepLines/>
        <w:numPr>
          <w:ilvl w:val="0"/>
          <w:numId w:val="1"/>
        </w:numPr>
        <w:tabs>
          <w:tab w:val="left" w:pos="402"/>
        </w:tabs>
        <w:spacing w:before="240" w:after="240" w:line="259" w:lineRule="auto"/>
        <w:ind w:right="-1"/>
        <w:jc w:val="both"/>
        <w:outlineLvl w:val="0"/>
        <w:rPr>
          <w:rFonts w:ascii="Bookman Old Style" w:eastAsiaTheme="majorEastAsia" w:hAnsi="Bookman Old Style" w:cstheme="minorHAnsi"/>
          <w:b/>
          <w:sz w:val="18"/>
          <w:szCs w:val="18"/>
        </w:rPr>
      </w:pP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–</w:t>
      </w:r>
      <w:r w:rsidRPr="003B0027">
        <w:rPr>
          <w:rFonts w:ascii="Bookman Old Style" w:eastAsiaTheme="majorEastAsia" w:hAnsi="Bookman Old Style" w:cstheme="minorHAnsi"/>
          <w:b/>
          <w:spacing w:val="-5"/>
          <w:sz w:val="18"/>
          <w:szCs w:val="18"/>
        </w:rPr>
        <w:t xml:space="preserve"> POSICIONAMENTO SOBRE A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VIABILIDADE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DA</w:t>
      </w:r>
      <w:r w:rsidRPr="003B0027">
        <w:rPr>
          <w:rFonts w:ascii="Bookman Old Style" w:eastAsiaTheme="majorEastAsia" w:hAnsi="Bookman Old Style" w:cstheme="minorHAnsi"/>
          <w:b/>
          <w:spacing w:val="-3"/>
          <w:sz w:val="18"/>
          <w:szCs w:val="18"/>
        </w:rPr>
        <w:t xml:space="preserve"> </w:t>
      </w:r>
      <w:r w:rsidRPr="003B0027">
        <w:rPr>
          <w:rFonts w:ascii="Bookman Old Style" w:eastAsiaTheme="majorEastAsia" w:hAnsi="Bookman Old Style" w:cstheme="minorHAnsi"/>
          <w:b/>
          <w:sz w:val="18"/>
          <w:szCs w:val="18"/>
        </w:rPr>
        <w:t>CONTRATAÇÃO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both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O presente estudo técnico preliminar evidencia que </w:t>
      </w:r>
      <w:r w:rsidR="00BF17DF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a </w:t>
      </w:r>
      <w:r w:rsidR="00BF17DF" w:rsidRPr="00E2013E">
        <w:rPr>
          <w:rFonts w:ascii="Bookman Old Style" w:hAnsi="Bookman Old Style"/>
          <w:sz w:val="18"/>
          <w:szCs w:val="18"/>
        </w:rPr>
        <w:t>Contratação de empresa para fornecimento de recarga de gases medicinais (oxigênio)</w:t>
      </w:r>
      <w:r w:rsidR="00E2013E" w:rsidRPr="003B0027">
        <w:rPr>
          <w:rFonts w:ascii="Bookman Old Style" w:hAnsi="Bookman Old Style"/>
          <w:sz w:val="20"/>
          <w:szCs w:val="20"/>
        </w:rPr>
        <w:t xml:space="preserve"> </w:t>
      </w:r>
      <w:r w:rsidR="00BF17DF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a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Secretaria Municipal de Saúde através do processo licitatório se mostra tecnicamente viável e fundamentadamente necessária, devido a serem itens de venda exclusiva as empresas especializadas e registradas para o fornecimento dos mesmos tendo em vista a proporcionar maior disputa entre os participantes. Diante do exposto, </w:t>
      </w:r>
      <w:r w:rsidRPr="003B0027">
        <w:rPr>
          <w:rFonts w:ascii="Bookman Old Style" w:eastAsia="Times New Roman" w:hAnsi="Bookman Old Style" w:cstheme="minorHAnsi"/>
          <w:b/>
          <w:sz w:val="18"/>
          <w:szCs w:val="18"/>
          <w:lang w:val="pt-PT"/>
        </w:rPr>
        <w:t>DECLARO SER VIÁVEL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a contratação </w:t>
      </w:r>
      <w:r w:rsidR="00BF17DF"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pretendida.</w:t>
      </w:r>
    </w:p>
    <w:p w:rsidR="00696CD0" w:rsidRPr="003B0027" w:rsidRDefault="00696CD0" w:rsidP="00696CD0">
      <w:pPr>
        <w:widowControl w:val="0"/>
        <w:autoSpaceDE w:val="0"/>
        <w:autoSpaceDN w:val="0"/>
        <w:spacing w:before="240" w:after="240"/>
        <w:ind w:right="-1"/>
        <w:jc w:val="right"/>
        <w:rPr>
          <w:rFonts w:ascii="Bookman Old Style" w:eastAsia="Times New Roman" w:hAnsi="Bookman Old Style" w:cstheme="minorHAnsi"/>
          <w:sz w:val="18"/>
          <w:szCs w:val="18"/>
          <w:lang w:val="pt-PT"/>
        </w:rPr>
      </w:pP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br/>
        <w:t xml:space="preserve">Santo Antonio do Sudoeste – PR, </w:t>
      </w:r>
      <w:r w:rsidRPr="00E2013E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Data </w:t>
      </w:r>
      <w:r w:rsidR="00E2013E" w:rsidRPr="00E2013E">
        <w:rPr>
          <w:rFonts w:ascii="Bookman Old Style" w:eastAsia="Times New Roman" w:hAnsi="Bookman Old Style" w:cstheme="minorHAnsi"/>
          <w:sz w:val="18"/>
          <w:szCs w:val="18"/>
          <w:lang w:val="pt-PT"/>
        </w:rPr>
        <w:t>10 de Junho</w:t>
      </w:r>
      <w:r w:rsidR="0028646B" w:rsidRPr="00E2013E">
        <w:rPr>
          <w:rFonts w:ascii="Bookman Old Style" w:eastAsia="Times New Roman" w:hAnsi="Bookman Old Style" w:cstheme="minorHAnsi"/>
          <w:sz w:val="18"/>
          <w:szCs w:val="18"/>
          <w:lang w:val="pt-PT"/>
        </w:rPr>
        <w:t xml:space="preserve"> </w:t>
      </w:r>
      <w:r w:rsidRPr="003B0027">
        <w:rPr>
          <w:rFonts w:ascii="Bookman Old Style" w:eastAsia="Times New Roman" w:hAnsi="Bookman Old Style" w:cstheme="minorHAnsi"/>
          <w:sz w:val="18"/>
          <w:szCs w:val="18"/>
          <w:lang w:val="pt-PT"/>
        </w:rPr>
        <w:t>2024.</w:t>
      </w:r>
    </w:p>
    <w:p w:rsidR="00696CD0" w:rsidRPr="003B0027" w:rsidRDefault="00696CD0" w:rsidP="00696CD0">
      <w:pPr>
        <w:rPr>
          <w:b/>
        </w:rPr>
      </w:pPr>
    </w:p>
    <w:p w:rsidR="00163FBF" w:rsidRDefault="00163FBF"/>
    <w:p w:rsidR="00513121" w:rsidRDefault="00513121"/>
    <w:p w:rsidR="00513121" w:rsidRDefault="00513121"/>
    <w:p w:rsidR="00513121" w:rsidRDefault="00513121" w:rsidP="0051312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Bookman Old Style" w:eastAsia="Times New Roman" w:hAnsi="Bookman Old Style" w:cs="Bookman Old Style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theme="minorHAnsi"/>
          <w:b/>
          <w:sz w:val="20"/>
          <w:szCs w:val="20"/>
          <w:lang w:val="pt-PT"/>
        </w:rPr>
        <w:t>JOÃO MARIA DE SOUZA BO</w:t>
      </w:r>
      <w:r w:rsidR="009847E5" w:rsidRPr="009847E5">
        <w:rPr>
          <w:rFonts w:ascii="Bookman Old Style" w:eastAsia="Times New Roman" w:hAnsi="Bookman Old Style" w:cstheme="minorHAnsi"/>
          <w:b/>
          <w:sz w:val="20"/>
          <w:szCs w:val="20"/>
          <w:lang w:val="pt-PT"/>
        </w:rPr>
        <w:t>ENO</w:t>
      </w:r>
    </w:p>
    <w:p w:rsidR="009847E5" w:rsidRDefault="009847E5" w:rsidP="0051312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Bookman Old Style" w:eastAsia="Times New Roman" w:hAnsi="Bookman Old Style" w:cstheme="minorHAnsi"/>
          <w:sz w:val="20"/>
          <w:szCs w:val="20"/>
          <w:lang w:val="pt-PT"/>
        </w:rPr>
      </w:pPr>
      <w:r w:rsidRPr="009847E5">
        <w:rPr>
          <w:rFonts w:ascii="Bookman Old Style" w:eastAsia="Times New Roman" w:hAnsi="Bookman Old Style" w:cstheme="minorHAnsi"/>
          <w:sz w:val="20"/>
          <w:szCs w:val="20"/>
          <w:lang w:val="pt-PT"/>
        </w:rPr>
        <w:t>Secretário Municipal de Saúde</w:t>
      </w:r>
    </w:p>
    <w:p w:rsidR="00513121" w:rsidRPr="003B0027" w:rsidRDefault="00513121" w:rsidP="00513121">
      <w:pPr>
        <w:widowControl w:val="0"/>
        <w:autoSpaceDE w:val="0"/>
        <w:autoSpaceDN w:val="0"/>
        <w:spacing w:after="0" w:line="240" w:lineRule="auto"/>
        <w:ind w:right="-1"/>
        <w:jc w:val="center"/>
      </w:pPr>
    </w:p>
    <w:sectPr w:rsidR="00513121" w:rsidRPr="003B002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2F" w:rsidRDefault="0090362F">
      <w:pPr>
        <w:spacing w:after="0" w:line="240" w:lineRule="auto"/>
      </w:pPr>
      <w:r>
        <w:separator/>
      </w:r>
    </w:p>
  </w:endnote>
  <w:endnote w:type="continuationSeparator" w:id="0">
    <w:p w:rsidR="0090362F" w:rsidRDefault="0090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2F" w:rsidRDefault="0090362F">
      <w:pPr>
        <w:spacing w:after="0" w:line="240" w:lineRule="auto"/>
      </w:pPr>
      <w:r>
        <w:separator/>
      </w:r>
    </w:p>
  </w:footnote>
  <w:footnote w:type="continuationSeparator" w:id="0">
    <w:p w:rsidR="0090362F" w:rsidRDefault="0090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BD" w:rsidRPr="005228BD" w:rsidRDefault="00BF17DF" w:rsidP="005228BD">
    <w:pPr>
      <w:spacing w:after="0" w:line="240" w:lineRule="auto"/>
      <w:jc w:val="center"/>
      <w:rPr>
        <w:rFonts w:ascii="Bookman Old Style" w:eastAsiaTheme="minorEastAsia" w:hAnsi="Bookman Old Style" w:cs="Arial"/>
        <w:b/>
        <w:sz w:val="24"/>
        <w:szCs w:val="20"/>
        <w:lang w:eastAsia="pt-BR"/>
      </w:rPr>
    </w:pPr>
    <w:r w:rsidRPr="005228BD">
      <w:rPr>
        <w:rFonts w:eastAsiaTheme="minorEastAsia" w:cs="Times New Roman"/>
        <w:noProof/>
        <w:sz w:val="24"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4903A890" wp14:editId="2C6682AB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8BD">
      <w:rPr>
        <w:rFonts w:ascii="Bookman Old Style" w:eastAsiaTheme="minorEastAsia" w:hAnsi="Bookman Old Style" w:cs="Arial"/>
        <w:b/>
        <w:sz w:val="24"/>
        <w:szCs w:val="20"/>
        <w:lang w:eastAsia="pt-BR"/>
      </w:rPr>
      <w:t xml:space="preserve">      MUNICÍPIO DE SANTO ANTONIO DO SUDOESTE</w:t>
    </w:r>
  </w:p>
  <w:p w:rsidR="005228BD" w:rsidRPr="005228BD" w:rsidRDefault="00BF17DF" w:rsidP="005228BD">
    <w:pPr>
      <w:spacing w:after="0" w:line="240" w:lineRule="auto"/>
      <w:jc w:val="center"/>
      <w:rPr>
        <w:rFonts w:ascii="Bookman Old Style" w:eastAsiaTheme="minorEastAsia" w:hAnsi="Bookman Old Style" w:cs="Arial"/>
        <w:sz w:val="24"/>
        <w:szCs w:val="20"/>
        <w:lang w:eastAsia="pt-BR"/>
      </w:rPr>
    </w:pPr>
    <w:r w:rsidRPr="005228BD">
      <w:rPr>
        <w:rFonts w:ascii="Bookman Old Style" w:eastAsiaTheme="minorEastAsia" w:hAnsi="Bookman Old Style" w:cs="Arial"/>
        <w:sz w:val="24"/>
        <w:szCs w:val="20"/>
        <w:lang w:eastAsia="pt-BR"/>
      </w:rPr>
      <w:t>ESTADO DO PARANÁ</w:t>
    </w:r>
  </w:p>
  <w:p w:rsidR="005228BD" w:rsidRPr="005228BD" w:rsidRDefault="00BF17DF" w:rsidP="005228BD">
    <w:pPr>
      <w:spacing w:after="0" w:line="240" w:lineRule="auto"/>
      <w:ind w:left="20"/>
      <w:jc w:val="center"/>
      <w:rPr>
        <w:rFonts w:ascii="Bookman Old Style" w:eastAsiaTheme="minorEastAsia" w:hAnsi="Bookman Old Style" w:cs="Tahoma"/>
        <w:sz w:val="16"/>
        <w:szCs w:val="24"/>
        <w:lang w:eastAsia="pt-BR"/>
      </w:rPr>
    </w:pPr>
    <w:r w:rsidRPr="005228BD">
      <w:rPr>
        <w:rFonts w:ascii="Bookman Old Style" w:eastAsiaTheme="minorEastAsia" w:hAnsi="Bookman Old Style" w:cs="Tahoma"/>
        <w:w w:val="105"/>
        <w:sz w:val="16"/>
        <w:szCs w:val="24"/>
        <w:lang w:eastAsia="pt-BR"/>
      </w:rPr>
      <w:t>Avenida Brasil,</w:t>
    </w:r>
    <w:r w:rsidRPr="005228BD">
      <w:rPr>
        <w:rFonts w:ascii="Bookman Old Style" w:eastAsiaTheme="minorEastAsia" w:hAnsi="Bookman Old Style" w:cs="Tahoma"/>
        <w:spacing w:val="-24"/>
        <w:w w:val="105"/>
        <w:sz w:val="16"/>
        <w:szCs w:val="24"/>
        <w:lang w:eastAsia="pt-BR"/>
      </w:rPr>
      <w:t xml:space="preserve"> </w:t>
    </w:r>
    <w:r w:rsidRPr="005228BD">
      <w:rPr>
        <w:rFonts w:ascii="Bookman Old Style" w:eastAsiaTheme="minorEastAsia" w:hAnsi="Bookman Old Style" w:cs="Tahoma"/>
        <w:w w:val="105"/>
        <w:sz w:val="16"/>
        <w:szCs w:val="24"/>
        <w:lang w:eastAsia="pt-BR"/>
      </w:rPr>
      <w:t>1431</w:t>
    </w:r>
    <w:r w:rsidRPr="005228BD">
      <w:rPr>
        <w:rFonts w:ascii="Bookman Old Style" w:eastAsiaTheme="minorEastAsia" w:hAnsi="Bookman Old Style" w:cs="Tahoma"/>
        <w:spacing w:val="-21"/>
        <w:w w:val="105"/>
        <w:sz w:val="16"/>
        <w:szCs w:val="24"/>
        <w:lang w:eastAsia="pt-BR"/>
      </w:rPr>
      <w:t xml:space="preserve"> </w:t>
    </w:r>
    <w:r w:rsidRPr="005228BD">
      <w:rPr>
        <w:rFonts w:ascii="Bookman Old Style" w:eastAsiaTheme="minorEastAsia" w:hAnsi="Bookman Old Style" w:cs="Tahoma"/>
        <w:w w:val="110"/>
        <w:sz w:val="16"/>
        <w:szCs w:val="24"/>
        <w:lang w:eastAsia="pt-BR"/>
      </w:rPr>
      <w:t>–centro–</w:t>
    </w:r>
    <w:r w:rsidRPr="005228BD">
      <w:rPr>
        <w:rFonts w:ascii="Bookman Old Style" w:eastAsiaTheme="minorEastAsia" w:hAnsi="Bookman Old Style" w:cs="Tahoma"/>
        <w:spacing w:val="-23"/>
        <w:w w:val="110"/>
        <w:sz w:val="16"/>
        <w:szCs w:val="24"/>
        <w:lang w:eastAsia="pt-BR"/>
      </w:rPr>
      <w:t xml:space="preserve"> </w:t>
    </w:r>
    <w:r w:rsidRPr="005228BD">
      <w:rPr>
        <w:rFonts w:ascii="Bookman Old Style" w:eastAsiaTheme="minorEastAsia" w:hAnsi="Bookman Old Style" w:cs="Tahoma"/>
        <w:w w:val="105"/>
        <w:sz w:val="16"/>
        <w:szCs w:val="24"/>
        <w:lang w:eastAsia="pt-BR"/>
      </w:rPr>
      <w:t>CEP</w:t>
    </w:r>
    <w:r w:rsidRPr="005228BD">
      <w:rPr>
        <w:rFonts w:ascii="Bookman Old Style" w:eastAsiaTheme="minorEastAsia" w:hAnsi="Bookman Old Style" w:cs="Tahoma"/>
        <w:spacing w:val="-23"/>
        <w:w w:val="105"/>
        <w:sz w:val="16"/>
        <w:szCs w:val="24"/>
        <w:lang w:eastAsia="pt-BR"/>
      </w:rPr>
      <w:t xml:space="preserve"> </w:t>
    </w:r>
    <w:r w:rsidRPr="005228BD">
      <w:rPr>
        <w:rFonts w:ascii="Bookman Old Style" w:eastAsiaTheme="minorEastAsia" w:hAnsi="Bookman Old Style" w:cs="Tahoma"/>
        <w:w w:val="105"/>
        <w:sz w:val="16"/>
        <w:szCs w:val="24"/>
        <w:lang w:eastAsia="pt-BR"/>
      </w:rPr>
      <w:t>85.71-</w:t>
    </w:r>
    <w:proofErr w:type="gramStart"/>
    <w:r w:rsidRPr="005228BD">
      <w:rPr>
        <w:rFonts w:ascii="Bookman Old Style" w:eastAsiaTheme="minorEastAsia" w:hAnsi="Bookman Old Style" w:cs="Tahoma"/>
        <w:w w:val="105"/>
        <w:sz w:val="16"/>
        <w:szCs w:val="24"/>
        <w:lang w:eastAsia="pt-BR"/>
      </w:rPr>
      <w:t>000</w:t>
    </w:r>
    <w:proofErr w:type="gramEnd"/>
  </w:p>
  <w:p w:rsidR="005228BD" w:rsidRPr="005228BD" w:rsidRDefault="00BF17DF" w:rsidP="005228BD">
    <w:pPr>
      <w:spacing w:after="0" w:line="240" w:lineRule="auto"/>
      <w:ind w:left="20"/>
      <w:jc w:val="center"/>
      <w:rPr>
        <w:rFonts w:ascii="Bookman Old Style" w:eastAsiaTheme="minorEastAsia" w:hAnsi="Bookman Old Style" w:cs="Tahoma"/>
        <w:sz w:val="16"/>
        <w:szCs w:val="24"/>
        <w:lang w:eastAsia="pt-BR"/>
      </w:rPr>
    </w:pPr>
    <w:r w:rsidRPr="005228BD">
      <w:rPr>
        <w:rFonts w:ascii="Bookman Old Style" w:eastAsiaTheme="minorEastAsia" w:hAnsi="Bookman Old Style" w:cs="Tahoma"/>
        <w:sz w:val="16"/>
        <w:szCs w:val="24"/>
        <w:lang w:eastAsia="pt-BR"/>
      </w:rPr>
      <w:t>CNPJ 75.927.582/0001-55</w:t>
    </w:r>
    <w:proofErr w:type="gramStart"/>
    <w:r w:rsidRPr="005228BD">
      <w:rPr>
        <w:rFonts w:ascii="Bookman Old Style" w:eastAsiaTheme="minorEastAsia" w:hAnsi="Bookman Old Style" w:cs="Tahoma"/>
        <w:sz w:val="16"/>
        <w:szCs w:val="24"/>
        <w:lang w:eastAsia="pt-BR"/>
      </w:rPr>
      <w:t xml:space="preserve">  </w:t>
    </w:r>
  </w:p>
  <w:p w:rsidR="005228BD" w:rsidRPr="005228BD" w:rsidRDefault="00BF17DF" w:rsidP="005228BD">
    <w:pPr>
      <w:spacing w:after="0" w:line="240" w:lineRule="auto"/>
      <w:ind w:left="20"/>
      <w:jc w:val="center"/>
      <w:rPr>
        <w:rFonts w:ascii="Bookman Old Style" w:eastAsiaTheme="minorEastAsia" w:hAnsi="Bookman Old Style" w:cs="Tahoma"/>
        <w:sz w:val="16"/>
        <w:szCs w:val="24"/>
        <w:lang w:eastAsia="pt-BR"/>
      </w:rPr>
    </w:pPr>
    <w:proofErr w:type="gramEnd"/>
    <w:r w:rsidRPr="005228BD">
      <w:rPr>
        <w:rFonts w:ascii="Bookman Old Style" w:eastAsiaTheme="minorEastAsia" w:hAnsi="Bookman Old Style" w:cs="Tahoma"/>
        <w:color w:val="000080"/>
        <w:sz w:val="16"/>
        <w:szCs w:val="24"/>
        <w:u w:val="single"/>
        <w:lang w:eastAsia="pt-BR"/>
      </w:rPr>
      <w:t xml:space="preserve"> </w:t>
    </w:r>
    <w:r w:rsidRPr="005228BD">
      <w:rPr>
        <w:rFonts w:ascii="Bookman Old Style" w:eastAsiaTheme="minorEastAsia" w:hAnsi="Bookman Old Style" w:cs="Tahoma"/>
        <w:sz w:val="16"/>
        <w:szCs w:val="24"/>
        <w:lang w:eastAsia="pt-BR"/>
      </w:rPr>
      <w:t>– Telefone: (46) 35638000</w:t>
    </w:r>
  </w:p>
  <w:p w:rsidR="005228BD" w:rsidRDefault="009036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318"/>
    <w:multiLevelType w:val="hybridMultilevel"/>
    <w:tmpl w:val="9A66CF24"/>
    <w:lvl w:ilvl="0" w:tplc="0F9AF9D6">
      <w:start w:val="1"/>
      <w:numFmt w:val="decimal"/>
      <w:lvlText w:val="%1"/>
      <w:lvlJc w:val="left"/>
      <w:pPr>
        <w:ind w:left="178" w:hanging="178"/>
      </w:pPr>
      <w:rPr>
        <w:rFonts w:ascii="Bookman Old Style" w:eastAsia="Calibri" w:hAnsi="Bookman Old Style" w:cs="Calibri" w:hint="default"/>
        <w:b/>
        <w:bCs/>
        <w:w w:val="100"/>
        <w:sz w:val="20"/>
        <w:szCs w:val="24"/>
        <w:lang w:val="pt-PT" w:eastAsia="en-US" w:bidi="ar-SA"/>
      </w:rPr>
    </w:lvl>
    <w:lvl w:ilvl="1" w:tplc="4CAA6764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03120302">
      <w:numFmt w:val="bullet"/>
      <w:lvlText w:val="•"/>
      <w:lvlJc w:val="left"/>
      <w:pPr>
        <w:ind w:left="1556" w:hanging="262"/>
      </w:pPr>
      <w:rPr>
        <w:lang w:val="pt-PT" w:eastAsia="en-US" w:bidi="ar-SA"/>
      </w:rPr>
    </w:lvl>
    <w:lvl w:ilvl="3" w:tplc="C6EE46F2">
      <w:numFmt w:val="bullet"/>
      <w:lvlText w:val="•"/>
      <w:lvlJc w:val="left"/>
      <w:pPr>
        <w:ind w:left="2452" w:hanging="262"/>
      </w:pPr>
      <w:rPr>
        <w:lang w:val="pt-PT" w:eastAsia="en-US" w:bidi="ar-SA"/>
      </w:rPr>
    </w:lvl>
    <w:lvl w:ilvl="4" w:tplc="23C21322">
      <w:numFmt w:val="bullet"/>
      <w:lvlText w:val="•"/>
      <w:lvlJc w:val="left"/>
      <w:pPr>
        <w:ind w:left="3348" w:hanging="262"/>
      </w:pPr>
      <w:rPr>
        <w:lang w:val="pt-PT" w:eastAsia="en-US" w:bidi="ar-SA"/>
      </w:rPr>
    </w:lvl>
    <w:lvl w:ilvl="5" w:tplc="3E06EF46">
      <w:numFmt w:val="bullet"/>
      <w:lvlText w:val="•"/>
      <w:lvlJc w:val="left"/>
      <w:pPr>
        <w:ind w:left="4245" w:hanging="262"/>
      </w:pPr>
      <w:rPr>
        <w:lang w:val="pt-PT" w:eastAsia="en-US" w:bidi="ar-SA"/>
      </w:rPr>
    </w:lvl>
    <w:lvl w:ilvl="6" w:tplc="139C915C">
      <w:numFmt w:val="bullet"/>
      <w:lvlText w:val="•"/>
      <w:lvlJc w:val="left"/>
      <w:pPr>
        <w:ind w:left="5141" w:hanging="262"/>
      </w:pPr>
      <w:rPr>
        <w:lang w:val="pt-PT" w:eastAsia="en-US" w:bidi="ar-SA"/>
      </w:rPr>
    </w:lvl>
    <w:lvl w:ilvl="7" w:tplc="0E4A7D52">
      <w:numFmt w:val="bullet"/>
      <w:lvlText w:val="•"/>
      <w:lvlJc w:val="left"/>
      <w:pPr>
        <w:ind w:left="6037" w:hanging="262"/>
      </w:pPr>
      <w:rPr>
        <w:lang w:val="pt-PT" w:eastAsia="en-US" w:bidi="ar-SA"/>
      </w:rPr>
    </w:lvl>
    <w:lvl w:ilvl="8" w:tplc="1252119C">
      <w:numFmt w:val="bullet"/>
      <w:lvlText w:val="•"/>
      <w:lvlJc w:val="left"/>
      <w:pPr>
        <w:ind w:left="6933" w:hanging="262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9"/>
    <w:rsid w:val="00163FBF"/>
    <w:rsid w:val="0028646B"/>
    <w:rsid w:val="003B0027"/>
    <w:rsid w:val="0047357A"/>
    <w:rsid w:val="00513121"/>
    <w:rsid w:val="00696CD0"/>
    <w:rsid w:val="00767DE1"/>
    <w:rsid w:val="00846A91"/>
    <w:rsid w:val="008D40EE"/>
    <w:rsid w:val="0090362F"/>
    <w:rsid w:val="009847E5"/>
    <w:rsid w:val="009C0E2C"/>
    <w:rsid w:val="00A60D60"/>
    <w:rsid w:val="00AE3189"/>
    <w:rsid w:val="00BE4B9B"/>
    <w:rsid w:val="00BF17DF"/>
    <w:rsid w:val="00E2013E"/>
    <w:rsid w:val="00E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CD0"/>
  </w:style>
  <w:style w:type="paragraph" w:customStyle="1" w:styleId="ParagraphStyle">
    <w:name w:val="Paragraph Style"/>
    <w:rsid w:val="00846A9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CD0"/>
  </w:style>
  <w:style w:type="paragraph" w:customStyle="1" w:styleId="ParagraphStyle">
    <w:name w:val="Paragraph Style"/>
    <w:rsid w:val="00846A9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056B-E686-4F68-A09E-93D42C2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1455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2024-06-07T11:45:00Z</dcterms:created>
  <dcterms:modified xsi:type="dcterms:W3CDTF">2024-06-10T14:02:00Z</dcterms:modified>
</cp:coreProperties>
</file>