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 w:rsidR="00A167D7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901AFD" w:rsidRDefault="00901AF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901AFD">
        <w:rPr>
          <w:rFonts w:ascii="Bookman Old Style" w:eastAsia="Calibri" w:hAnsi="Bookman Old Style" w:cs="Times New Roman"/>
          <w:sz w:val="16"/>
          <w:szCs w:val="16"/>
          <w:lang w:eastAsia="en-US"/>
        </w:rPr>
        <w:t>Produzir os uniformes de handebol de acordo com as especificações técnicas estabelecidas no contrato, incluindo materiais, design, tamanhos e personalizações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901AFD" w:rsidRDefault="00901AF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901AFD">
        <w:rPr>
          <w:rFonts w:ascii="Bookman Old Style" w:eastAsia="Calibri" w:hAnsi="Bookman Old Style" w:cs="Times New Roman"/>
          <w:sz w:val="16"/>
          <w:szCs w:val="16"/>
          <w:lang w:eastAsia="en-US"/>
        </w:rPr>
        <w:t>Utilizar materiais de alta qualidade que garantam a durabilidade, conforto e funcionalidade dos uniformes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901AFD" w:rsidRDefault="00901AF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901AF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itens deverão ser entregues no </w:t>
      </w:r>
      <w:r w:rsidRPr="00901AFD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Departamento de Esportes em</w:t>
      </w:r>
      <w:r w:rsidRPr="00901AF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Santo Antonio do Sudoeste – PR. O prazo máximo para entrega dos uniformes é de 20 dias a partir da assinatura do contrato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901A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93D48"/>
    <w:rsid w:val="00150D6B"/>
    <w:rsid w:val="0026024E"/>
    <w:rsid w:val="003950BE"/>
    <w:rsid w:val="004018BF"/>
    <w:rsid w:val="00530BD3"/>
    <w:rsid w:val="006B0418"/>
    <w:rsid w:val="00832C68"/>
    <w:rsid w:val="00901AFD"/>
    <w:rsid w:val="00A167D7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3266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11</cp:revision>
  <cp:lastPrinted>2024-04-15T18:10:00Z</cp:lastPrinted>
  <dcterms:created xsi:type="dcterms:W3CDTF">2024-01-31T19:19:00Z</dcterms:created>
  <dcterms:modified xsi:type="dcterms:W3CDTF">2024-06-19T19:05:00Z</dcterms:modified>
</cp:coreProperties>
</file>