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A425A" w:rsidRDefault="002A42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>Fornecer bebedouros de acordo com as especificações técnicas e quantidades estabelecidas no contrato, garantindo sua qualidade, durabilidade e conformidade com as normas vigentes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A425A" w:rsidRDefault="002A42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Realizar a entrega dos bebedouros dentro do prazo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de 10 (dez) dias</w:t>
      </w: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no </w:t>
      </w: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>almoxarifado da Secretaria de Saúde, de segunda a sexta-feira, dos horários das 08h às 12h e das 13:15h às 17:15h, de acordo com as condições previamente acordadas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A425A" w:rsidRDefault="002A42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>Disponibilizar assistência técnica durante o período de garantia dos bebedouros, realizando eventuais reparos ou substituições necessárias, de forma ágil e eficiente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A425A" w:rsidRDefault="002A425A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>Caso não seja possível a entrega na data assinalada, a empresa deverá comunicar as razões respectivas com pelo menos 05 (cinco) dia de antecedência para que qualquer pleito de prorrogação de prazo seja analisado, ressalvadas situações de caso fortuito e força maior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0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0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</w:t>
      </w:r>
      <w:r w:rsidR="002A425A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te -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  <w:bookmarkStart w:id="1" w:name="_GoBack"/>
      <w:bookmarkEnd w:id="1"/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2A42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0B6B9B"/>
    <w:rsid w:val="00150D6B"/>
    <w:rsid w:val="002A425A"/>
    <w:rsid w:val="00331130"/>
    <w:rsid w:val="003950BE"/>
    <w:rsid w:val="004018BF"/>
    <w:rsid w:val="006B0418"/>
    <w:rsid w:val="00CC1718"/>
    <w:rsid w:val="00D82845"/>
    <w:rsid w:val="00EB0B8E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3334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11</cp:revision>
  <cp:lastPrinted>2024-04-15T18:10:00Z</cp:lastPrinted>
  <dcterms:created xsi:type="dcterms:W3CDTF">2024-01-31T19:19:00Z</dcterms:created>
  <dcterms:modified xsi:type="dcterms:W3CDTF">2024-05-08T11:52:00Z</dcterms:modified>
</cp:coreProperties>
</file>