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E" w:rsidRPr="005600BD" w:rsidRDefault="002174CE" w:rsidP="002174CE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5600BD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2174CE" w:rsidRPr="005600BD" w:rsidRDefault="002174CE" w:rsidP="002174CE">
      <w:pPr>
        <w:jc w:val="both"/>
        <w:rPr>
          <w:rFonts w:ascii="Bookman Old Style" w:hAnsi="Bookman Old Style" w:cs="Arial"/>
          <w:sz w:val="20"/>
          <w:szCs w:val="20"/>
        </w:rPr>
      </w:pPr>
    </w:p>
    <w:p w:rsidR="002174CE" w:rsidRPr="005600BD" w:rsidRDefault="002174CE" w:rsidP="002174CE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2174CE" w:rsidRPr="005600BD" w:rsidRDefault="002174CE" w:rsidP="002174CE">
      <w:pPr>
        <w:jc w:val="both"/>
        <w:rPr>
          <w:rFonts w:ascii="Bookman Old Style" w:hAnsi="Bookman Old Style" w:cs="Arial"/>
          <w:sz w:val="20"/>
          <w:szCs w:val="20"/>
        </w:rPr>
      </w:pPr>
    </w:p>
    <w:p w:rsidR="002174CE" w:rsidRPr="005600BD" w:rsidRDefault="002174CE" w:rsidP="002174C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2174CE" w:rsidRPr="005600BD" w:rsidRDefault="002174CE" w:rsidP="002174C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Tal exigência se torna explicita no Art. 6º, inciso XXIII, alíneas de ‘a’ a ‘j’.</w:t>
      </w:r>
    </w:p>
    <w:p w:rsidR="002174CE" w:rsidRPr="005600BD" w:rsidRDefault="002174CE" w:rsidP="002174C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2174CE" w:rsidRPr="005600BD" w:rsidRDefault="002174CE" w:rsidP="002174CE">
      <w:pPr>
        <w:jc w:val="both"/>
        <w:rPr>
          <w:rFonts w:ascii="Bookman Old Style" w:hAnsi="Bookman Old Style" w:cs="Arial"/>
          <w:sz w:val="20"/>
          <w:szCs w:val="20"/>
        </w:rPr>
      </w:pPr>
    </w:p>
    <w:p w:rsidR="002174CE" w:rsidRPr="005600BD" w:rsidRDefault="002174CE" w:rsidP="002174C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1. DEFINIÇÃO DO OBJETO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2174CE" w:rsidRPr="005600BD" w:rsidRDefault="002174CE" w:rsidP="002174CE">
      <w:pPr>
        <w:ind w:firstLine="708"/>
        <w:jc w:val="both"/>
        <w:rPr>
          <w:rFonts w:ascii="Bookman Old Style" w:hAnsi="Bookman Old Style" w:cs="Arial"/>
          <w:iCs/>
          <w:color w:val="FF0000"/>
          <w:sz w:val="20"/>
          <w:szCs w:val="20"/>
        </w:rPr>
      </w:pPr>
      <w:bookmarkStart w:id="1" w:name="_GoBack"/>
      <w:r w:rsidRPr="005600BD">
        <w:rPr>
          <w:rFonts w:ascii="Bookman Old Style" w:hAnsi="Bookman Old Style" w:cs="Bookman Old Style"/>
          <w:bCs/>
          <w:sz w:val="20"/>
          <w:szCs w:val="20"/>
        </w:rPr>
        <w:t>Aquisição de medi</w:t>
      </w:r>
      <w:r w:rsidR="00116109" w:rsidRPr="005600BD">
        <w:rPr>
          <w:rFonts w:ascii="Bookman Old Style" w:hAnsi="Bookman Old Style" w:cs="Bookman Old Style"/>
          <w:bCs/>
          <w:sz w:val="20"/>
          <w:szCs w:val="20"/>
        </w:rPr>
        <w:t>camentos</w:t>
      </w:r>
      <w:r w:rsidRPr="005600BD">
        <w:rPr>
          <w:rFonts w:ascii="Bookman Old Style" w:hAnsi="Bookman Old Style" w:cs="Bookman Old Style"/>
          <w:bCs/>
          <w:sz w:val="20"/>
          <w:szCs w:val="20"/>
        </w:rPr>
        <w:t xml:space="preserve"> em virtude da Epidemia de Dengue conforme Decreto Municipal nº 4.103/2024</w:t>
      </w:r>
      <w:bookmarkEnd w:id="1"/>
      <w:r w:rsidRPr="005600BD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2174CE" w:rsidRPr="005600BD" w:rsidRDefault="002174CE" w:rsidP="002174CE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573"/>
        <w:gridCol w:w="724"/>
        <w:gridCol w:w="3680"/>
        <w:gridCol w:w="1205"/>
        <w:gridCol w:w="1010"/>
        <w:gridCol w:w="1052"/>
        <w:gridCol w:w="1248"/>
      </w:tblGrid>
      <w:tr w:rsidR="004C0699" w:rsidRPr="005600BD" w:rsidTr="00565191">
        <w:tc>
          <w:tcPr>
            <w:tcW w:w="94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/>
                <w:sz w:val="16"/>
                <w:szCs w:val="20"/>
                <w:lang w:val="x-none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Lote: 1 - Lote 001</w:t>
            </w: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  <w:lang w:val="x-none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Item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  <w:lang w:val="x-none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Código do produto/serviço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Nome do produto/serviço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proofErr w:type="spellStart"/>
            <w:r w:rsidRPr="005600BD">
              <w:rPr>
                <w:rFonts w:ascii="Bookman Old Style" w:hAnsi="Bookman Old Style"/>
                <w:sz w:val="16"/>
                <w:szCs w:val="20"/>
              </w:rPr>
              <w:t>Unid</w:t>
            </w:r>
            <w:proofErr w:type="spellEnd"/>
            <w:r w:rsidRPr="005600BD">
              <w:rPr>
                <w:rFonts w:ascii="Bookman Old Style" w:hAnsi="Bookman Old Style"/>
                <w:sz w:val="16"/>
                <w:szCs w:val="20"/>
              </w:rPr>
              <w:t>/medida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Quantidade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Preço máximo</w:t>
            </w:r>
            <w:r w:rsidRPr="005600BD">
              <w:rPr>
                <w:rFonts w:ascii="Bookman Old Style" w:hAnsi="Bookman Old Style"/>
                <w:sz w:val="16"/>
                <w:szCs w:val="20"/>
              </w:rPr>
              <w:t xml:space="preserve"> R$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Preço máximo total</w:t>
            </w:r>
            <w:r w:rsidRPr="005600BD">
              <w:rPr>
                <w:rFonts w:ascii="Bookman Old Style" w:hAnsi="Bookman Old Style"/>
                <w:sz w:val="16"/>
                <w:szCs w:val="20"/>
              </w:rPr>
              <w:t xml:space="preserve"> R$</w:t>
            </w: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 xml:space="preserve">APARELHO DE PRESSÃO DIGITAL DE BRAÇO, </w:t>
            </w:r>
            <w:r w:rsidRPr="005600BD">
              <w:rPr>
                <w:rFonts w:ascii="Bookman Old Style" w:hAnsi="Bookman Old Style" w:cs="Segoe UI"/>
                <w:sz w:val="16"/>
                <w:szCs w:val="20"/>
              </w:rPr>
              <w:t>01 braçadeira tamanho adulto para circunferência de braço de 22 a 36 cm; M</w:t>
            </w:r>
            <w:r w:rsidRPr="005600BD">
              <w:rPr>
                <w:rFonts w:ascii="Bookman Old Style" w:hAnsi="Bookman Old Style" w:cs="Segoe UI"/>
                <w:sz w:val="16"/>
                <w:szCs w:val="20"/>
                <w:shd w:val="clear" w:color="auto" w:fill="FFFFFF"/>
              </w:rPr>
              <w:t xml:space="preserve">edição de Pressão Arterial e Frequência Cardíaca; </w:t>
            </w:r>
            <w:r w:rsidR="00565191">
              <w:rPr>
                <w:rFonts w:ascii="Bookman Old Style" w:hAnsi="Bookman Old Style" w:cs="Segoe UI"/>
                <w:sz w:val="16"/>
                <w:szCs w:val="20"/>
                <w:shd w:val="clear" w:color="auto" w:fill="FFFFFF"/>
              </w:rPr>
              <w:t xml:space="preserve">Detecção de Arritmia Cardíaca; </w:t>
            </w:r>
            <w:r w:rsidRPr="005600BD">
              <w:rPr>
                <w:rFonts w:ascii="Bookman Old Style" w:hAnsi="Bookman Old Style" w:cs="Segoe UI"/>
                <w:sz w:val="16"/>
                <w:szCs w:val="20"/>
                <w:shd w:val="clear" w:color="auto" w:fill="FFFFFF"/>
              </w:rPr>
              <w:t>Indicador Gráfico de Nível de Hipertensão.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155,550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9A68B0" w:rsidRDefault="009A68B0" w:rsidP="009A68B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1.088,85</w:t>
            </w: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BROMOPRIDA (BR0269958) IIV/IM 5 MG/ML, forma farmacêutica solução injetável.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AMP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3.000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1,480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4.440,000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Calibri"/>
                <w:bCs/>
                <w:sz w:val="16"/>
                <w:szCs w:val="20"/>
              </w:rPr>
              <w:t>CATÉTER INTRAVENOSO FLEXÍVEL Nº 18</w:t>
            </w:r>
            <w:proofErr w:type="gram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 </w:t>
            </w:r>
            <w:r w:rsidR="00565191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</w:t>
            </w:r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(</w:t>
            </w:r>
            <w:proofErr w:type="gram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BR0437183) Cateter periférico intravenoso, com dispositivo de segurança. Características: estéril (esterilizado por óxido de etileno).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Apirogênico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, radiopaco e flexível, com filtro, agulha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siliconizada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com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bi-angulado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e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trifacetado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, livre de látex, descartável e de uso único, conector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look universal codificado por cores e com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ranhaduras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para fixação. Provido de dispositivo de segurança que cobre o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Calibri"/>
                <w:sz w:val="16"/>
                <w:szCs w:val="20"/>
              </w:rPr>
              <w:t xml:space="preserve"> da agulha. Embalado em papel grau cirúrgico, contendo registro no Ministério da Saúde, lote, validade e data de fabricação, pronta para o uso.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1.000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0,728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728,000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tabs>
                <w:tab w:val="left" w:pos="924"/>
              </w:tabs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20"/>
              </w:rPr>
              <w:t>CATÉTER INTRAVENOSO FLEXÍVEL Nº 20</w:t>
            </w:r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(BR0437178) Cateter periférico intravenoso, com dispositivo de segurança. Características: estéril (esterilizado por óxido de etileno).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Apirogênico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, radiopaco e flexível, com filtro, agulha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siliconizada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com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bi-angulado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trifacetado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, livre de látex, descartável e de uso único, conector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look universal codificado por cores e com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ranhaduras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para fixação. Provido de dispositivo de segurança que cobre o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da agulha. Embalado em papel grau cirúrgico, contendo registro no Ministério da Saúde, lote, validade e data de fabricação, pronta para o uso.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0,685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1.370,000</w:t>
            </w:r>
          </w:p>
          <w:p w:rsidR="000D4F67" w:rsidRPr="005600BD" w:rsidRDefault="000D4F67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  <w:p w:rsidR="004C0699" w:rsidRPr="005600BD" w:rsidRDefault="004C0699" w:rsidP="009A4710">
            <w:pPr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20"/>
              </w:rPr>
              <w:t>CATÉTER INTRAVENOSO FLEXÍVEL Nº 22</w:t>
            </w:r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(BR0437179) Cateter periférico intravenoso, com dispositivo de segurança. Características: estéril (esterilizado por óxido de etileno).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Apirogênico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, radiopaco e flexível, com filtro, agulha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siliconizada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com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bi-angulado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lastRenderedPageBreak/>
              <w:t>trifacetado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, livre de látex, descartável e de uso único, conector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look universal codificado por cores e com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ranhaduras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para fixação. Provido de dispositivo de segurança que cobre o </w:t>
            </w:r>
            <w:proofErr w:type="spellStart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 xml:space="preserve"> da agulha. Embalado em papel grau cirúrgico, contendo registro no Ministério da Saúde, lote, validade e data de fabricação, pronta para o uso.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lastRenderedPageBreak/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0,667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3.335,000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lastRenderedPageBreak/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24327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CATÉTER INTRAVENOSO FLEXÍVEL Nº 24</w:t>
            </w: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[BR437180] Cateter periférico intravenoso, com dispositivo de segurança. Características: estéril (esterilizado por óxido de etileno).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Apirogênico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, radiopaco e flexível, com filtro, agulha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siliconizada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com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bi-angulado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e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trifacetado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, livre de látex, descartável e de uso único, conector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look universal codificado por cores e com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ranhaduras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para fixação. Provido de dispositivo de segurança que cobre o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bisel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da agulha. Embalado em papel grau cirúrgico, contendo registro no Ministério da Saúde, lote, validade e data de fabricação, pronta para o uso.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0,685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1.370,000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24308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COMPLEXO B (BR0274567) INJETÁVEL, AMPOLA 2 ML.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AMP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0,990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4.950,000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24309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COMPLEXO B, COMPOSIÇÃO BÁSICA B1, B2, B3, B5, B6, B12 (BR0437109).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COMP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40.000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0,228</w:t>
            </w:r>
            <w:r w:rsidR="009A68B0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9A68B0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9.148,00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DIPIRONA MONOIDRATADA 1 G SOLUÇÃO INJETÁVEL 2 ML IM/IV.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AMP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6.000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1,183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7.098,000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24328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EQUIPO PARA SORO MACROGOTAS C/ ROLDANAS</w:t>
            </w: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(BR390365) Equipo para soro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macrogotas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- dispositivo para fracionamento de soro, apresentado como um adaptador para frasco de soro, para fracionamento de soro, sistema fechado, com dimensional de penetrador conforme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nbr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14041, que facilita a utilização das soluções em almotolia e permite fracionamento através de conectores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luer-slip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e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lock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de seringas e extensores, com protetores que garantam a esterilidade do produto após a abertura da embalagem, embalado em papel grau cirúrgico e estetizado a oxido de etileno. Embalagem individual que permita a abertura asséptica, contendo dados de identificação, data, método e validade de esterilização e registro do ministério da saúde.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15.000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0,796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11.940,000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24330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LENÇOL DESCARTÁVEL</w:t>
            </w: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(BR0352012) Material papel, largura 0.70 m, comprimento 50 m, apresentação rolo.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ROLO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11,060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5.530,000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METOCLOPRAMIDA CLORIDRATO, DOSAGEM  5 MG/ ML, APRESENTAÇÃO: SOLUÇÃO INJETÁVEL (BR0267310).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AMP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0,670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1.340,000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24416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 xml:space="preserve">POLIFIX MULTI VIA (BR457526)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infusor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 xml:space="preserve"> para soluções parentais 2 vias com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clamp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 xml:space="preserve"> e tampa.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0,676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1.352,000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2B5E3C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24417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 xml:space="preserve">REPELENTE em spray para mosquitos, pernilongos, borrachudos,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muriçosas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 xml:space="preserve"> e </w:t>
            </w:r>
            <w:r w:rsidRPr="005600BD">
              <w:rPr>
                <w:rFonts w:ascii="Bookman Old Style" w:hAnsi="Bookman Old Style" w:cs="Arial"/>
                <w:sz w:val="16"/>
                <w:szCs w:val="20"/>
                <w:shd w:val="clear" w:color="auto" w:fill="FFFFFF"/>
              </w:rPr>
              <w:t>Aedes aegypti</w:t>
            </w: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, proteção de até 10 horas, embalagem de no mínimo 200 ml, fragrância suave e não oleosa, testado dermatologicamente, validade mínima de 1 ano.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8ED" w:rsidRPr="005600BD" w:rsidRDefault="00F458ED" w:rsidP="00F458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color w:val="FF0000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8ED" w:rsidRPr="005600BD" w:rsidRDefault="00F458ED" w:rsidP="00F458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7.000,000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color w:val="FF0000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Sais para Reidratação Oral (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Nacl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3,5 g + Glicose 20 g +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Citrato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Na 2,9 g +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Kcl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1,5 g), 27,9 G, PÓ PARA SOLUÇÃO, EVELOPE.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SACHÊ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2,635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13.175,000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lastRenderedPageBreak/>
              <w:t>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SCALP Nº 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1.000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0,220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24329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SCALP Nº 21</w:t>
            </w: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(BR437166)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3.000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0,218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654,000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8D3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24419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SCALP Nº 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0,220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1.100,000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19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8D3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24420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SCALP Nº 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0,220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440,000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8D3952" w:rsidP="008D3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24421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color w:val="FF0000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SERINGA DESCARTÁVEL 3 ML (BR0439625) sem agulha, estéril, atóxica,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apirogênica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, fabricada em plástico atóxico, esterilizada e embalada individualmente, embalagem em papel grau cirúrgico que garanta sua esterilização e de fácil abertura, encaixe tipo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slip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, SEM AGULHA. Traços e números de inscrição claros e legíveis e isentos de falhas, sendo a escala numerada em traços longos. Êmbolo com trava para prevenir a separação entre o êmbolo e o corpo da seringa. Embalagem com identificação de: número do lote, data de fabricação, data de validade registro na ANVISA e responsável técnico.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0,110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9073D3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color w:val="FF0000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SERINGA DESCARTÁVEL 5 ML (BR0439726) sem agulha, estéril, atóxica,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apirogênica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, fabricada em plástico atóxico, esterilizada e embalada individualmente, embalagem em papel grau cirúrgico que garanta sua esterilização e de fácil abertura, encaixe tipo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slip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, traços e números de inscrição claros e legíveis e isentos de falhas, sendo a escala numerada em traços longos. Êmbolo com trava para prevenir a separação entre o êmbolo e o corpo da seringa. Embalagem com identificação de: número do lote, data de fabricação, data de validade registro na ANVISA e responsável técnico.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0,135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270,000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9073D3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SERINGA DESCARTÁVEL 10 ML (BR0417796) sem agulha, fabricada em plástico atóxico, esterilizada e embalada individualmente, embalagem em papel grau cirúrgico que garanta sua esterilização e de fácil abertura, encaixe tipo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slip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, traços e números de inscrição claros e legíveis e isentos de falhas, sendo a escala numerada em traços longos. Êmbolo com trava para prevenir a separação entre o êmbolo e o corpo da seringa. Embalagem com identificação de: número do lote, data de fabricação, data de validade registro na ANVISA e responsável técnico.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0,237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474,000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9073D3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24424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/>
                <w:b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SERINGA DESCARTÁVEL 20 ML (BR0439627) sem agulha, fabricada em plástico atóxico, esterilizada e embalada individualmente, embalagem em papel grau cirúrgico que garanta sua esterilização e de fácil abertura, encaixe tipo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luer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 xml:space="preserve"> </w:t>
            </w:r>
            <w:proofErr w:type="spellStart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slip</w:t>
            </w:r>
            <w:proofErr w:type="spellEnd"/>
            <w:r w:rsidRPr="005600BD">
              <w:rPr>
                <w:rFonts w:ascii="Bookman Old Style" w:eastAsia="Times New Roman" w:hAnsi="Bookman Old Style"/>
                <w:sz w:val="16"/>
                <w:szCs w:val="20"/>
              </w:rPr>
              <w:t>, traços e números de inscrição claros e legíveis e isentos de falhas, sendo a escala numerada em traços longos. Êmbolo com trava para prevenir a separação entre o êmbolo e o corpo da seringa. Embalagem com identificação de: número do lote, data de fabricação, data de validade registro na ANVISA e responsável técnico.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0,370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740,000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SOLUÇÃO GLICOSADA 5% 250ML </w:t>
            </w: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lastRenderedPageBreak/>
              <w:t xml:space="preserve">(BR0270092) sistema fechado, estéril, frasco individualizado,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reembalado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em caixas, contendo dados de identificação (nº de lote, data de fabricação e validade). O produto a ser entregue deverá apresentar validade de no mínimo 2/3 do prazo de validade total.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lastRenderedPageBreak/>
              <w:t>BOLSA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5,730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lastRenderedPageBreak/>
              <w:t>2.865,000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lastRenderedPageBreak/>
              <w:t>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SOLUÇÃO GLICOSADA 5% 500ML (BR0270092) sistema fechado, estéril, frasco individualizado, 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reembalado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em caixas, contendo dados de identificação (nº de lote, data de fabricação e validade). O produto a ser entregue deverá apresentar validade de no mínimo 2/3 do prazo de validade total.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BOLSA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500 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7,294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3.647,000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SORO FISIOLÓGICO 0,9% 100 ML (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CatMat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: 452796)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BOLSA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3,930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7.860,000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24316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SORO FISIOLÓGICO 0,9% 250 ML (BR0268236)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BOLSA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3.000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4,540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13.620,000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24317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SORO FISIOLÓGICO 0,9% 500 ML (BR0268236)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BOLSA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6.000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6,790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40.740,000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SORO FISIOLÓGICO 0,9% 1.000 ML (BR0268236)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BOLSA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10,360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20.720,000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24319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SORO GLICOFISIOLÓGICO 5% 250 ML (</w:t>
            </w:r>
            <w:proofErr w:type="spellStart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CatMat</w:t>
            </w:r>
            <w:proofErr w:type="spellEnd"/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: 366913)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BOLSA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6,183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12.366,000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24320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SORO GLICOFISIOLÓGICO 5% 500 ML (BR0366913)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BOLSA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2.000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6,960</w:t>
            </w:r>
          </w:p>
          <w:p w:rsidR="004C0699" w:rsidRPr="005600BD" w:rsidRDefault="004C0699" w:rsidP="009A4710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13.920,000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24333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SUPORTE PARA SORO, em metal;</w:t>
            </w:r>
            <w:r w:rsidRPr="005600BD">
              <w:rPr>
                <w:rStyle w:val="Forte"/>
                <w:rFonts w:ascii="Bookman Old Style" w:hAnsi="Bookman Old Style"/>
                <w:color w:val="212529"/>
                <w:sz w:val="16"/>
                <w:szCs w:val="20"/>
                <w:shd w:val="clear" w:color="auto" w:fill="FFFFFF"/>
              </w:rPr>
              <w:t xml:space="preserve"> </w:t>
            </w:r>
            <w:r w:rsidRPr="005600BD">
              <w:rPr>
                <w:rStyle w:val="Forte"/>
                <w:rFonts w:ascii="Bookman Old Style" w:hAnsi="Bookman Old Style"/>
                <w:b w:val="0"/>
                <w:color w:val="212529"/>
                <w:sz w:val="16"/>
                <w:szCs w:val="20"/>
                <w:shd w:val="clear" w:color="auto" w:fill="FFFFFF"/>
              </w:rPr>
              <w:t>Pintura eletrostática Branca;</w:t>
            </w:r>
            <w:r w:rsidRPr="005600BD">
              <w:rPr>
                <w:rFonts w:ascii="Bookman Old Style" w:hAnsi="Bookman Old Style"/>
                <w:color w:val="212529"/>
                <w:sz w:val="16"/>
                <w:szCs w:val="20"/>
                <w:shd w:val="clear" w:color="auto" w:fill="FFFFFF"/>
              </w:rPr>
              <w:t xml:space="preserve"> </w:t>
            </w:r>
            <w:r w:rsidRPr="005600BD"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  <w:t>com rodinhas; altura ajustável; no mínimo 4 ganchos.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UNID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5600BD">
              <w:rPr>
                <w:rFonts w:ascii="Bookman Old Style" w:eastAsia="Times New Roman" w:hAnsi="Bookman Old Style" w:cs="Times New Roman"/>
                <w:sz w:val="16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184,500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F67" w:rsidRPr="005600BD" w:rsidRDefault="000D4F67" w:rsidP="009A471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600B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1.845,000</w:t>
            </w:r>
          </w:p>
          <w:p w:rsidR="004C0699" w:rsidRPr="005600BD" w:rsidRDefault="004C0699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0699" w:rsidRPr="005600BD" w:rsidTr="00565191">
        <w:trPr>
          <w:trHeight w:val="225"/>
        </w:trPr>
        <w:tc>
          <w:tcPr>
            <w:tcW w:w="824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699" w:rsidRPr="005600BD" w:rsidRDefault="004C0699" w:rsidP="002B5E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/>
                <w:b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b/>
                <w:sz w:val="16"/>
                <w:szCs w:val="20"/>
              </w:rPr>
              <w:t>TOTAL R$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699" w:rsidRPr="005600BD" w:rsidRDefault="009A68B0" w:rsidP="009A47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20"/>
              </w:rPr>
              <w:t>195.565</w:t>
            </w:r>
            <w:r w:rsidR="00F458ED" w:rsidRPr="005600BD">
              <w:rPr>
                <w:rFonts w:ascii="Bookman Old Style" w:hAnsi="Bookman Old Style"/>
                <w:b/>
                <w:sz w:val="16"/>
                <w:szCs w:val="20"/>
              </w:rPr>
              <w:t>,85</w:t>
            </w:r>
          </w:p>
        </w:tc>
      </w:tr>
    </w:tbl>
    <w:p w:rsidR="002174CE" w:rsidRPr="005600BD" w:rsidRDefault="002174CE" w:rsidP="002174CE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9522EC" w:rsidRPr="005600BD" w:rsidRDefault="002174CE" w:rsidP="009522EC">
      <w:pPr>
        <w:pStyle w:val="PargrafodaLista"/>
        <w:ind w:left="0"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é de </w:t>
      </w:r>
      <w:r w:rsidRPr="005600BD">
        <w:rPr>
          <w:rFonts w:ascii="Bookman Old Style" w:hAnsi="Bookman Old Style" w:cs="Arial"/>
          <w:b/>
          <w:sz w:val="20"/>
          <w:szCs w:val="20"/>
        </w:rPr>
        <w:t xml:space="preserve">R$ </w:t>
      </w:r>
      <w:r w:rsidR="009A68B0">
        <w:rPr>
          <w:rFonts w:ascii="Bookman Old Style" w:hAnsi="Bookman Old Style" w:cs="Arial"/>
          <w:b/>
          <w:sz w:val="20"/>
          <w:szCs w:val="20"/>
        </w:rPr>
        <w:t>195.565</w:t>
      </w:r>
      <w:r w:rsidR="00F458ED" w:rsidRPr="005600BD">
        <w:rPr>
          <w:rFonts w:ascii="Bookman Old Style" w:hAnsi="Bookman Old Style" w:cs="Arial"/>
          <w:b/>
          <w:sz w:val="20"/>
          <w:szCs w:val="20"/>
        </w:rPr>
        <w:t>,85</w:t>
      </w:r>
      <w:r w:rsidR="006F21B0" w:rsidRPr="005600BD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9A68B0" w:rsidRPr="009A68B0">
        <w:rPr>
          <w:rFonts w:ascii="Bookman Old Style" w:hAnsi="Bookman Old Style" w:cs="Arial"/>
          <w:b/>
          <w:sz w:val="20"/>
          <w:szCs w:val="20"/>
        </w:rPr>
        <w:t>Cento e Noventa e Cinco Mil e Quinhentos e Sessenta e Cinco Reais e Oitenta e Cinco Centavos</w:t>
      </w:r>
      <w:r w:rsidR="006F21B0" w:rsidRPr="005600BD">
        <w:rPr>
          <w:rFonts w:ascii="Bookman Old Style" w:hAnsi="Bookman Old Style" w:cs="Arial"/>
          <w:b/>
          <w:sz w:val="20"/>
          <w:szCs w:val="20"/>
        </w:rPr>
        <w:t>).</w:t>
      </w:r>
    </w:p>
    <w:p w:rsidR="009522EC" w:rsidRPr="005600BD" w:rsidRDefault="009522EC" w:rsidP="009522EC">
      <w:pPr>
        <w:pStyle w:val="PargrafodaLista"/>
        <w:ind w:left="0" w:firstLine="708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:rsidR="002174CE" w:rsidRPr="005600BD" w:rsidRDefault="002174CE" w:rsidP="009522EC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Prazo contratual </w:t>
      </w:r>
    </w:p>
    <w:p w:rsidR="002174CE" w:rsidRPr="005600BD" w:rsidRDefault="002174C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b/>
          <w:sz w:val="20"/>
          <w:szCs w:val="20"/>
        </w:rPr>
        <w:t xml:space="preserve">O prazo de vigência da contratação é de </w:t>
      </w:r>
      <w:r w:rsidR="002819BF" w:rsidRPr="005600BD">
        <w:rPr>
          <w:rFonts w:ascii="Bookman Old Style" w:hAnsi="Bookman Old Style"/>
          <w:b/>
          <w:sz w:val="20"/>
          <w:szCs w:val="20"/>
        </w:rPr>
        <w:t>6</w:t>
      </w:r>
      <w:r w:rsidRPr="005600BD">
        <w:rPr>
          <w:rFonts w:ascii="Bookman Old Style" w:hAnsi="Bookman Old Style"/>
          <w:b/>
          <w:sz w:val="20"/>
          <w:szCs w:val="20"/>
        </w:rPr>
        <w:t xml:space="preserve"> (</w:t>
      </w:r>
      <w:r w:rsidR="002819BF" w:rsidRPr="005600BD">
        <w:rPr>
          <w:rFonts w:ascii="Bookman Old Style" w:hAnsi="Bookman Old Style"/>
          <w:b/>
          <w:sz w:val="20"/>
          <w:szCs w:val="20"/>
        </w:rPr>
        <w:t>seis</w:t>
      </w:r>
      <w:r w:rsidRPr="005600BD">
        <w:rPr>
          <w:rFonts w:ascii="Bookman Old Style" w:hAnsi="Bookman Old Style"/>
          <w:b/>
          <w:sz w:val="20"/>
          <w:szCs w:val="20"/>
        </w:rPr>
        <w:t>) meses, contados</w:t>
      </w:r>
      <w:r w:rsidRPr="005600BD">
        <w:rPr>
          <w:rFonts w:ascii="Bookman Old Style" w:hAnsi="Bookman Old Style"/>
          <w:sz w:val="20"/>
          <w:szCs w:val="20"/>
        </w:rPr>
        <w:t xml:space="preserve"> a partir da assinatura do contrato.</w:t>
      </w:r>
    </w:p>
    <w:p w:rsidR="009522EC" w:rsidRPr="005600BD" w:rsidRDefault="009522EC" w:rsidP="00F97223">
      <w:pPr>
        <w:ind w:firstLine="708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2174CE" w:rsidRPr="005600BD" w:rsidRDefault="002174CE" w:rsidP="00565191">
      <w:pPr>
        <w:pStyle w:val="Nivel01"/>
        <w:keepNext w:val="0"/>
        <w:keepLines w:val="0"/>
        <w:widowControl w:val="0"/>
        <w:numPr>
          <w:ilvl w:val="0"/>
          <w:numId w:val="6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FUNDAMENTAÇÃO DA CONTRATAÇÃO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565191" w:rsidRPr="00565191" w:rsidRDefault="00565191" w:rsidP="00565191">
      <w:pPr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hAnsi="Bookman Old Style"/>
          <w:b/>
          <w:bCs/>
          <w:lang w:eastAsia="en-US"/>
        </w:rPr>
        <w:br/>
        <w:t xml:space="preserve"> </w:t>
      </w:r>
      <w:r>
        <w:rPr>
          <w:rFonts w:ascii="Bookman Old Style" w:hAnsi="Bookman Old Style"/>
          <w:b/>
          <w:bCs/>
          <w:lang w:eastAsia="en-US"/>
        </w:rPr>
        <w:tab/>
      </w:r>
      <w:r w:rsidRPr="00565191">
        <w:rPr>
          <w:rFonts w:ascii="Bookman Old Style" w:eastAsiaTheme="minorHAnsi" w:hAnsi="Bookman Old Style" w:cstheme="minorBidi"/>
          <w:sz w:val="20"/>
          <w:szCs w:val="20"/>
          <w:lang w:eastAsia="en-US"/>
        </w:rPr>
        <w:t>Considerando a persistência e gravidade da Epidemia de Dengue que assola nosso município, bem como a insuficiência do processo de dispensa emergencial anterior para suprir adequadamente a demanda por medicamentos e insumos necessários ao combate dessa enfermidade, faz-se necessária uma nova medida urgente para garantir o abastecimento contínuo e eficiente desses recursos vitais.</w:t>
      </w:r>
    </w:p>
    <w:p w:rsidR="00565191" w:rsidRPr="00565191" w:rsidRDefault="00565191" w:rsidP="00565191">
      <w:pPr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565191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  <w:t>O recente surto de Dengue tem demandado uma resposta ágil e eficaz por parte das autoridades responsáveis pela saúde pública. No entanto, apesar dos esforços empreendidos até o momento, ainda enfrentamos uma escassez preocupante de medicamentos e insumos essenciais para o tratamento adequado dos pacientes afetados.</w:t>
      </w:r>
    </w:p>
    <w:p w:rsidR="00565191" w:rsidRPr="00565191" w:rsidRDefault="00565191" w:rsidP="00565191">
      <w:pPr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565191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  <w:t>Neste contexto, é imperativo agir com celeridade para assegurar a continuidade do atendimento de qualidade aos cidadãos afetados pela doença. A realização de um novo processo de dispensa emergencial se apresenta como a alternativa mais viável e eficiente para garantir a pronta disponibilidade dos recursos necessários, sem os entraves burocráticos típicos dos process</w:t>
      </w: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>os licitatórios convencionais, considerando que estamos em processo de novo certame em elaboração (Pregão Eletrônico) para a aquisição dos itens.</w:t>
      </w:r>
    </w:p>
    <w:p w:rsidR="002174CE" w:rsidRPr="00216753" w:rsidRDefault="008C46C3" w:rsidP="00216753">
      <w:pPr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lastRenderedPageBreak/>
        <w:tab/>
      </w:r>
      <w:r w:rsidR="00565191" w:rsidRPr="00565191">
        <w:rPr>
          <w:rFonts w:ascii="Bookman Old Style" w:eastAsiaTheme="minorHAnsi" w:hAnsi="Bookman Old Style" w:cstheme="minorBidi"/>
          <w:sz w:val="20"/>
          <w:szCs w:val="20"/>
          <w:lang w:eastAsia="en-US"/>
        </w:rPr>
        <w:t>Portanto, justifica-se plenamente a adoção desta medida excepcional, que visa suprir de forma imediata e eficaz as necessidades emergenciais decorrentes da Epidemia de Dengue, salvaguardando assim a saúde e o bem-estar da população de Santo Antonio do Sudoeste.</w:t>
      </w:r>
    </w:p>
    <w:p w:rsidR="002174CE" w:rsidRPr="005600BD" w:rsidRDefault="002174CE" w:rsidP="002174CE">
      <w:pPr>
        <w:rPr>
          <w:rFonts w:ascii="Bookman Old Style" w:hAnsi="Bookman Old Style"/>
          <w:sz w:val="20"/>
          <w:szCs w:val="20"/>
          <w:lang w:val="pt-PT"/>
        </w:rPr>
      </w:pPr>
    </w:p>
    <w:p w:rsidR="002174CE" w:rsidRPr="005600BD" w:rsidRDefault="002174CE" w:rsidP="002174C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>3. DESCRIÇÃO DA SOLUÇÃO COMO UM TODO CONSIDERADO O CICLO DE VIDA DO OBJETO E ESPECIFICAÇÃO DO PRODUTO.</w:t>
      </w:r>
      <w:r w:rsidRPr="005600BD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2174CE" w:rsidRPr="005600BD" w:rsidRDefault="002174CE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 </w:t>
      </w:r>
    </w:p>
    <w:p w:rsidR="002174CE" w:rsidRPr="005600BD" w:rsidRDefault="00726F21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A solução abrange diversas etapas do ciclo de vida do objeto, desde a identificação da necessidade até o descarte adequado dos materiais utilizados. Inicialmente, é realizado um levantamento das demandas emergenciais relacionadas à Epidemia de Dengue, levando em consideração a quantidade necessária de medicamentos e insumos para atender à demanda dos pacientes afetados.</w:t>
      </w:r>
    </w:p>
    <w:p w:rsidR="00726F21" w:rsidRPr="005600BD" w:rsidRDefault="00726F21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  <w:t>A especificação dos produtos a serem adquiridos é elaborada com base nas diretrizes e protocolos de tratamento estabelecidos para a Dengue, garantindo a eficácia e segurança dos medicamentos e insumos utilizados. São considerados critérios como a qualidade dos produtos, sua compatibilidade com as necessidades do tratamento, bem como sua disponibilidade no mercado.</w:t>
      </w:r>
    </w:p>
    <w:p w:rsidR="00726F21" w:rsidRPr="005600BD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  <w:t>Além disso, é importante assegurar que os produtos adquiridos atendam aos requisitos legais e regulamentares aplicáveis, garantindo a conformidade com as normas de segurança e qualidade estabelecidas pelos órgãos competentes.</w:t>
      </w:r>
    </w:p>
    <w:p w:rsidR="00726F21" w:rsidRPr="005600BD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  <w:t>Durante a fase de aquisição, são realizados os procedimentos necessários para garantir a transparência e a eficiência do processo, incluindo a escolha de fornecedores confiáveis, a análise de propostas e a formalização dos contratos de compra.</w:t>
      </w:r>
    </w:p>
    <w:p w:rsidR="00726F21" w:rsidRPr="005600BD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  <w:t>Ao longo do uso dos medicamentos e insumos, é fundamental monitorar sua eficácia e segurança, bem como garantir o correto armazenamento e distribuição dos materiais, a fim de evitar desperdícios e garantir o acesso adequado aos pacientes que deles necessitam.</w:t>
      </w:r>
    </w:p>
    <w:p w:rsidR="00726F21" w:rsidRPr="005600BD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  <w:t>Por fim, ao final do ciclo de vida do objeto, são adotadas medidas para o descarte adequado dos materiais utilizados, seguindo as normas e regulamentações ambientais vigentes, a fim de minimizar os impactos negativos ao meio ambiente e à saúde pública.</w:t>
      </w:r>
    </w:p>
    <w:p w:rsidR="002174CE" w:rsidRPr="005600BD" w:rsidRDefault="002174CE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2174CE" w:rsidRPr="005600BD" w:rsidRDefault="002174CE" w:rsidP="003C480E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5600BD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7652F9" w:rsidRPr="005600BD" w:rsidRDefault="002174CE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</w:r>
      <w:r w:rsidR="007652F9" w:rsidRPr="005600BD">
        <w:rPr>
          <w:rFonts w:ascii="Bookman Old Style" w:hAnsi="Bookman Old Style"/>
          <w:sz w:val="20"/>
          <w:szCs w:val="20"/>
        </w:rPr>
        <w:t>Atendimento às Especificações Técnicas: A contratada deve fornecer medicamentos e insumos que atendam às especificações técnicas estabelecidas, garantindo sua eficácia e segurança para o tratamento da Dengue.</w:t>
      </w:r>
    </w:p>
    <w:p w:rsidR="007652F9" w:rsidRPr="005600BD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Cumprimento dos Prazos: É fundamental que a contratada cumpra os prazos estipulados para a entrega dos produtos, garantindo o abastecimento contínuo e oportuno durante todo o período contratual.</w:t>
      </w:r>
    </w:p>
    <w:p w:rsidR="007652F9" w:rsidRPr="005600BD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Qualidade dos Produtos: Os medicamentos e insumos fornecidos devem atender aos mais altos padrões de qualidade, assegurando sua eficácia terapêutica e segurança para uso em ambiente ambulatorial.</w:t>
      </w:r>
    </w:p>
    <w:p w:rsidR="007652F9" w:rsidRPr="005600BD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Conformidade Regulatória: A contratada deve estar em conformidade com todas as normas e regulamentações aplicáveis à produção, armazenamento e distribuição de medicamentos e insumos, garantindo sua licença de funcionamento e autorizações necessárias.</w:t>
      </w:r>
    </w:p>
    <w:p w:rsidR="007652F9" w:rsidRPr="005600BD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Capacidade Técnica e Operacional: É necessário que a contratada possua a capacidade técnica e operacional para fornecer os produtos solicitados em conformidade com as quantidades e especificações requeridas.</w:t>
      </w:r>
    </w:p>
    <w:p w:rsidR="002174CE" w:rsidRPr="005600BD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Preço Competitivo: O preço dos produtos fornecidos pela contratada deve ser competitivo e justificável, garantindo o melhor custo-benefício para o contratante.</w:t>
      </w:r>
    </w:p>
    <w:p w:rsidR="007652F9" w:rsidRPr="005600BD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Ética e Transparência: A contratada deve conduzir seus negócios de forma ética e transparente, respeitando os princípios de integridade, honestidade e responsabilidade social.</w:t>
      </w:r>
    </w:p>
    <w:p w:rsidR="002174CE" w:rsidRPr="005600BD" w:rsidRDefault="002174CE" w:rsidP="002174CE">
      <w:pPr>
        <w:jc w:val="both"/>
        <w:rPr>
          <w:rFonts w:ascii="Bookman Old Style" w:hAnsi="Bookman Old Style"/>
          <w:sz w:val="20"/>
          <w:szCs w:val="20"/>
        </w:rPr>
      </w:pPr>
    </w:p>
    <w:p w:rsidR="002174CE" w:rsidRPr="005600BD" w:rsidRDefault="002174CE" w:rsidP="002174C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O modelo de execução do objeto define como o contrato será conduzido para alcançar os resultados desejados desde o início até o encerramento. Para a aquisição de medicamentos e insumos ambulatoriais em resposta à Epidemia de Dengue, conforme previsto pelo Decreto Municipal nº 4.103/2024, o modelo de execução inclui: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Planejamento da Execução: Elaboração de um plano detalhado que define as atividades, prazos, recursos necessários e responsáveis por cada etapa do processo de aquisição.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Procedimentos de Compra: Adoção de procedimentos transparentes e eficientes para a seleção de fornecedores, análise de propostas e formalização do contrato.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Garantia da Qualidade e Segurança: Implementação de medidas para garantir a qualidade e segurança dos produtos adquiridos, incluindo inspeções de qualidade e monitoramento do armazenamento.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Gestão de Fornecedores: Estabelecimento de um sistema de gestão para monitorar o desempenho dos fornecedores, avaliando sua capacidade de entrega e conformidade com os termos do contrato.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Controle de Custos e Orçamento: Adoção de mecanismos para garantir que a aquisição seja realizada dentro dos limites orçamentários estabelecidos.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Monitoramento e Avaliação: Realização de monitoramentos regulares para avaliar o progresso das atividades e tomar medidas corretivas quando necessário.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Encerramento do Contrato: Realização das atividades necessárias para o encerramento formal do contrato, incluindo verificação da entrega completa dos produtos e liquidação de pendências financeiras.</w:t>
      </w:r>
    </w:p>
    <w:p w:rsidR="003C480E" w:rsidRPr="005600BD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5600BD">
        <w:rPr>
          <w:rFonts w:ascii="Bookman Old Style" w:hAnsi="Bookman Old Style"/>
          <w:sz w:val="20"/>
          <w:szCs w:val="20"/>
          <w:lang w:eastAsia="en-US"/>
        </w:rPr>
        <w:tab/>
        <w:t>Esse modelo visa garantir a eficácia, eficiência e transparência na aquisição dos medicamentos e insumos necessários para enfrentar a Epidemia de Dengue, assegurando o atendimento adequado aos pacientes afetados.</w:t>
      </w:r>
    </w:p>
    <w:p w:rsidR="002174CE" w:rsidRPr="005600BD" w:rsidRDefault="002174CE" w:rsidP="002174CE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:rsidR="002174CE" w:rsidRPr="005600BD" w:rsidRDefault="002174CE" w:rsidP="002174CE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5600BD">
        <w:rPr>
          <w:rFonts w:ascii="Bookman Old Style" w:hAnsi="Bookman Old Style"/>
          <w:b/>
          <w:sz w:val="20"/>
          <w:szCs w:val="20"/>
        </w:rPr>
        <w:t>DAS OBRIGAÇÕES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Fornecer os medicamentos e insumos ambulatoriais conforme especificado nos termos do contrato e de acordo com as normas e regulamentações aplicáveis.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Garantir a qualidade e segurança dos produtos fornecidos, incluindo a conformidade com os padrões estabelecidos pelos órgãos reguladores competentes.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Cumprir os prazos estabelecidos para a entrega dos produtos, assegurando o abastecimento contínuo e oportuno dos medicamentos e insumos necessários.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Manter a confidencialidade das informações relacionadas ao contrato e aos pacientes atendidos, respeitando as normas de privacidade e proteção de dados.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Responsabilizar-se pela correta armazenagem dos produtos durante o transporte e enquanto estiverem sob sua custódia, garantindo sua integridade e segurança.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Prestar assistência técnica e suporte necessários, incluindo esclarecimento de dúvidas e resolução de eventuais problemas relacionados aos produtos fornecidos.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Cumprir com todas as obrigações fiscais, tributárias e trabalhistas decorrentes do contrato, incluindo o pagamento de impostos e taxas aplicáveis.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Manter-se em conformidade com as políticas e diretrizes estabelecidas pelo contratante, colaborando de forma transparente e proativa para o bom andamento do contrato.</w:t>
      </w:r>
    </w:p>
    <w:p w:rsidR="003C480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Informar prontamente ao contratante sobre quaisquer eventos ou circunstâncias que possam afetar a execução do contrato, incluindo a ocorrência de atrasos ou problemas na entrega dos produtos.</w:t>
      </w:r>
    </w:p>
    <w:p w:rsidR="002174CE" w:rsidRPr="005600BD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Cumprir com todas as demais obrigações estabelecidas nos termos do contrato e agir de boa-fé em todas as interações com o contratante.</w:t>
      </w:r>
    </w:p>
    <w:p w:rsidR="002174CE" w:rsidRPr="005600BD" w:rsidRDefault="002174C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174CE" w:rsidRPr="00565191" w:rsidRDefault="002174CE" w:rsidP="002174CE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565191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2174CE" w:rsidRPr="005600BD" w:rsidRDefault="002174C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Os </w:t>
      </w:r>
      <w:r w:rsidR="007652F9" w:rsidRPr="005600BD">
        <w:rPr>
          <w:rFonts w:ascii="Bookman Old Style" w:hAnsi="Bookman Old Style"/>
          <w:sz w:val="20"/>
          <w:szCs w:val="20"/>
        </w:rPr>
        <w:t>medic</w:t>
      </w:r>
      <w:r w:rsidR="00BE118E" w:rsidRPr="005600BD">
        <w:rPr>
          <w:rFonts w:ascii="Bookman Old Style" w:hAnsi="Bookman Old Style"/>
          <w:sz w:val="20"/>
          <w:szCs w:val="20"/>
        </w:rPr>
        <w:t>amentos deverão ser entregues no almoxarifado da</w:t>
      </w:r>
      <w:r w:rsidR="007652F9" w:rsidRPr="005600BD">
        <w:rPr>
          <w:rFonts w:ascii="Bookman Old Style" w:hAnsi="Bookman Old Style"/>
          <w:sz w:val="20"/>
          <w:szCs w:val="20"/>
        </w:rPr>
        <w:t xml:space="preserve"> </w:t>
      </w:r>
      <w:r w:rsidRPr="005600BD">
        <w:rPr>
          <w:rFonts w:ascii="Bookman Old Style" w:hAnsi="Bookman Old Style"/>
          <w:sz w:val="20"/>
          <w:szCs w:val="20"/>
        </w:rPr>
        <w:t>Secretaria</w:t>
      </w:r>
      <w:r w:rsidR="00BE118E" w:rsidRPr="005600BD">
        <w:rPr>
          <w:rFonts w:ascii="Bookman Old Style" w:hAnsi="Bookman Old Style"/>
          <w:sz w:val="20"/>
          <w:szCs w:val="20"/>
        </w:rPr>
        <w:t xml:space="preserve"> Municipal de Saúde</w:t>
      </w:r>
      <w:r w:rsidRPr="005600BD">
        <w:rPr>
          <w:rFonts w:ascii="Bookman Old Style" w:hAnsi="Bookman Old Style"/>
          <w:sz w:val="20"/>
          <w:szCs w:val="20"/>
        </w:rPr>
        <w:t xml:space="preserve">, </w:t>
      </w:r>
      <w:r w:rsidR="00BE118E" w:rsidRPr="005600BD">
        <w:rPr>
          <w:rFonts w:ascii="Bookman Old Style" w:hAnsi="Bookman Old Style"/>
          <w:sz w:val="20"/>
          <w:szCs w:val="20"/>
        </w:rPr>
        <w:t>localizado no endereço</w:t>
      </w:r>
      <w:r w:rsidR="00621455" w:rsidRPr="005600BD">
        <w:rPr>
          <w:rFonts w:ascii="Bookman Old Style" w:hAnsi="Bookman Old Style"/>
          <w:sz w:val="20"/>
          <w:szCs w:val="20"/>
        </w:rPr>
        <w:t>:</w:t>
      </w:r>
      <w:r w:rsidR="00BE118E" w:rsidRPr="005600BD">
        <w:rPr>
          <w:rFonts w:ascii="Bookman Old Style" w:hAnsi="Bookman Old Style"/>
          <w:sz w:val="20"/>
          <w:szCs w:val="20"/>
        </w:rPr>
        <w:t xml:space="preserve"> Rua Santos Dumont, 677, Centro, cidade de Santo Antônio do Sudoeste – PR, CEP: 85.710-000</w:t>
      </w:r>
      <w:r w:rsidR="00621455" w:rsidRPr="005600BD">
        <w:rPr>
          <w:rFonts w:ascii="Bookman Old Style" w:hAnsi="Bookman Old Style"/>
          <w:sz w:val="20"/>
          <w:szCs w:val="20"/>
        </w:rPr>
        <w:t>,</w:t>
      </w:r>
      <w:r w:rsidR="00BE118E" w:rsidRPr="005600BD">
        <w:rPr>
          <w:rFonts w:ascii="Bookman Old Style" w:hAnsi="Bookman Old Style"/>
          <w:sz w:val="20"/>
          <w:szCs w:val="20"/>
        </w:rPr>
        <w:t xml:space="preserve"> entre os horários das 07:30h às 11:00h e 13:00h às 16:30h,</w:t>
      </w:r>
      <w:r w:rsidRPr="005600BD">
        <w:rPr>
          <w:rFonts w:ascii="Bookman Old Style" w:hAnsi="Bookman Old Style"/>
          <w:sz w:val="20"/>
          <w:szCs w:val="20"/>
        </w:rPr>
        <w:t xml:space="preserve"> no prazo máximo de </w:t>
      </w:r>
      <w:r w:rsidR="00BE118E" w:rsidRPr="005600BD">
        <w:rPr>
          <w:rFonts w:ascii="Bookman Old Style" w:hAnsi="Bookman Old Style"/>
          <w:sz w:val="20"/>
          <w:szCs w:val="20"/>
        </w:rPr>
        <w:t>02 (dois)</w:t>
      </w:r>
      <w:r w:rsidRPr="005600BD">
        <w:rPr>
          <w:rFonts w:ascii="Bookman Old Style" w:hAnsi="Bookman Old Style"/>
          <w:sz w:val="20"/>
          <w:szCs w:val="20"/>
        </w:rPr>
        <w:t xml:space="preserve"> dias úteis, após o recebimento da nota de empenho, seguindo rigorosamente as quantidades solicitadas no documento supra.</w:t>
      </w:r>
    </w:p>
    <w:p w:rsidR="00BE118E" w:rsidRPr="005600BD" w:rsidRDefault="00BE118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Caso não seja possível a entrega na data assinalada, a empresa deverá comunicar as razõ</w:t>
      </w:r>
      <w:r w:rsidR="00213C81" w:rsidRPr="005600BD">
        <w:rPr>
          <w:rFonts w:ascii="Bookman Old Style" w:hAnsi="Bookman Old Style"/>
          <w:sz w:val="20"/>
          <w:szCs w:val="20"/>
        </w:rPr>
        <w:t>es respectivas com pelo menos 01 (um) dia</w:t>
      </w:r>
      <w:r w:rsidRPr="005600BD">
        <w:rPr>
          <w:rFonts w:ascii="Bookman Old Style" w:hAnsi="Bookman Old Style"/>
          <w:sz w:val="20"/>
          <w:szCs w:val="20"/>
        </w:rPr>
        <w:t xml:space="preserve"> de antecedência para que qualquer pleito de prorrogação de prazo seja analisado, ressalvadas situações de caso fortuito e força maior.</w:t>
      </w:r>
    </w:p>
    <w:p w:rsidR="002174CE" w:rsidRPr="005600BD" w:rsidRDefault="00BE118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Os itens entregues deverão estar acompanhados da Nota Fiscal, que deverá conter o número do contrato e da Requisição de Empenho ou do Empenho correspondente, bem como, o descritivo dos itens conforme o contrato.</w:t>
      </w:r>
    </w:p>
    <w:p w:rsidR="00BE118E" w:rsidRPr="005600BD" w:rsidRDefault="00BE118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174CE" w:rsidRPr="005600BD" w:rsidRDefault="002174CE" w:rsidP="002174CE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5600BD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5600BD">
        <w:rPr>
          <w:rFonts w:ascii="Bookman Old Style" w:hAnsi="Bookman Old Style" w:cs="Cambria"/>
          <w:color w:val="auto"/>
        </w:rPr>
        <w:t>is</w:t>
      </w:r>
      <w:proofErr w:type="spellEnd"/>
      <w:r w:rsidRPr="005600BD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5600BD">
        <w:rPr>
          <w:rFonts w:ascii="Bookman Old Style" w:hAnsi="Bookman Old Style" w:cs="Cambria"/>
          <w:color w:val="auto"/>
        </w:rPr>
        <w:t>apostilamento</w:t>
      </w:r>
      <w:proofErr w:type="spellEnd"/>
      <w:r w:rsidRPr="005600BD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2174CE" w:rsidRPr="005600BD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2174CE" w:rsidRPr="005600BD" w:rsidRDefault="002174CE" w:rsidP="002174CE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2174CE" w:rsidRPr="005600BD" w:rsidRDefault="002174CE" w:rsidP="002174C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5600BD">
        <w:rPr>
          <w:rFonts w:ascii="Bookman Old Style" w:hAnsi="Bookman Old Style"/>
          <w:b/>
          <w:sz w:val="20"/>
          <w:szCs w:val="20"/>
        </w:rPr>
        <w:t xml:space="preserve">FISCAL: </w:t>
      </w:r>
      <w:r w:rsidR="00621455" w:rsidRPr="005600BD">
        <w:rPr>
          <w:rFonts w:ascii="Bookman Old Style" w:hAnsi="Bookman Old Style"/>
          <w:b/>
          <w:sz w:val="20"/>
          <w:szCs w:val="20"/>
        </w:rPr>
        <w:t>MATEUS</w:t>
      </w:r>
      <w:r w:rsidRPr="005600BD">
        <w:rPr>
          <w:rFonts w:ascii="Bookman Old Style" w:hAnsi="Bookman Old Style"/>
          <w:b/>
          <w:sz w:val="20"/>
          <w:szCs w:val="20"/>
        </w:rPr>
        <w:t xml:space="preserve"> </w:t>
      </w:r>
      <w:r w:rsidR="00621455" w:rsidRPr="005600BD">
        <w:rPr>
          <w:rFonts w:ascii="Bookman Old Style" w:hAnsi="Bookman Old Style"/>
          <w:b/>
          <w:sz w:val="20"/>
          <w:szCs w:val="20"/>
        </w:rPr>
        <w:t>MILANI KUHN</w:t>
      </w:r>
    </w:p>
    <w:p w:rsidR="002174CE" w:rsidRPr="005600BD" w:rsidRDefault="002174CE" w:rsidP="00A9194A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5600BD">
        <w:rPr>
          <w:rFonts w:ascii="Bookman Old Style" w:hAnsi="Bookman Old Style"/>
          <w:b/>
          <w:sz w:val="20"/>
          <w:szCs w:val="20"/>
        </w:rPr>
        <w:t xml:space="preserve">GESTOR: </w:t>
      </w:r>
      <w:r w:rsidR="00A9194A" w:rsidRPr="005600BD">
        <w:rPr>
          <w:rFonts w:ascii="Bookman Old Style" w:hAnsi="Bookman Old Style" w:cs="Arial"/>
          <w:b/>
          <w:color w:val="333333"/>
          <w:sz w:val="20"/>
          <w:szCs w:val="20"/>
          <w:shd w:val="clear" w:color="auto" w:fill="F5F5F5"/>
        </w:rPr>
        <w:t>JOAO MARIA DE SOUZA BOENO</w:t>
      </w:r>
    </w:p>
    <w:p w:rsidR="00F97223" w:rsidRPr="005600BD" w:rsidRDefault="00F97223" w:rsidP="002174C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2174CE" w:rsidRPr="005600BD" w:rsidRDefault="002174CE" w:rsidP="002174CE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CRITÉRIOS DE MEDIÇÃO E DE PAGAMENTO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2174CE" w:rsidRPr="005600BD" w:rsidRDefault="002174CE" w:rsidP="002174CE">
      <w:pPr>
        <w:widowControl w:val="0"/>
        <w:suppressAutoHyphens/>
        <w:contextualSpacing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2174CE" w:rsidRPr="005600BD" w:rsidRDefault="002174CE" w:rsidP="005600BD">
      <w:pPr>
        <w:pStyle w:val="PargrafodaLista"/>
        <w:widowControl w:val="0"/>
        <w:numPr>
          <w:ilvl w:val="1"/>
          <w:numId w:val="3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5600BD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2174CE" w:rsidRPr="005600BD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5600BD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2174CE" w:rsidRPr="005600BD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2174CE" w:rsidRPr="005600BD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2174CE" w:rsidRPr="005600BD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2174CE" w:rsidRPr="005600BD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2174CE" w:rsidRPr="005600BD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2174CE" w:rsidRPr="005600BD" w:rsidRDefault="002174CE" w:rsidP="005600BD">
      <w:pPr>
        <w:pStyle w:val="Nivel2"/>
        <w:numPr>
          <w:ilvl w:val="0"/>
          <w:numId w:val="3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5600BD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5600BD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color w:val="auto"/>
          <w:lang w:eastAsia="en-US"/>
        </w:rPr>
      </w:pPr>
    </w:p>
    <w:p w:rsidR="00045452" w:rsidRPr="005600BD" w:rsidRDefault="002174CE" w:rsidP="002174C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5600BD">
        <w:rPr>
          <w:rFonts w:ascii="Bookman Old Style" w:hAnsi="Bookman Old Style"/>
          <w:color w:val="auto"/>
        </w:rPr>
        <w:t>Com os preços estimados e considerando aspectos de economicidade e eficácia, bem como o enquadramento na legislação vi</w:t>
      </w:r>
      <w:r w:rsidR="00045452" w:rsidRPr="005600BD">
        <w:rPr>
          <w:rFonts w:ascii="Bookman Old Style" w:hAnsi="Bookman Old Style"/>
          <w:color w:val="auto"/>
        </w:rPr>
        <w:t>gente</w:t>
      </w:r>
      <w:r w:rsidR="007C177D" w:rsidRPr="005600BD">
        <w:rPr>
          <w:rFonts w:ascii="Bookman Old Style" w:hAnsi="Bookman Old Style"/>
          <w:color w:val="auto"/>
        </w:rPr>
        <w:t>,</w:t>
      </w:r>
      <w:r w:rsidR="00045452" w:rsidRPr="005600BD">
        <w:rPr>
          <w:rFonts w:ascii="Bookman Old Style" w:hAnsi="Bookman Old Style"/>
          <w:color w:val="auto"/>
        </w:rPr>
        <w:t xml:space="preserve"> a DISPENSA foi considerada</w:t>
      </w:r>
      <w:r w:rsidRPr="005600BD">
        <w:rPr>
          <w:rFonts w:ascii="Bookman Old Style" w:hAnsi="Bookman Old Style"/>
          <w:color w:val="auto"/>
        </w:rPr>
        <w:t xml:space="preserve"> a modalidade técnica e economicamente viável que possibilita a aquisição dos itens descrit</w:t>
      </w:r>
      <w:r w:rsidR="00045452" w:rsidRPr="005600BD">
        <w:rPr>
          <w:rFonts w:ascii="Bookman Old Style" w:hAnsi="Bookman Old Style"/>
          <w:color w:val="auto"/>
        </w:rPr>
        <w:t>os neste termo.</w:t>
      </w:r>
      <w:r w:rsidRPr="005600BD">
        <w:rPr>
          <w:rFonts w:ascii="Bookman Old Style" w:hAnsi="Bookman Old Style"/>
          <w:color w:val="auto"/>
        </w:rPr>
        <w:t xml:space="preserve"> </w:t>
      </w:r>
    </w:p>
    <w:p w:rsidR="002174CE" w:rsidRPr="005600BD" w:rsidRDefault="00045452" w:rsidP="002174C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  <w:lang w:eastAsia="en-US"/>
        </w:rPr>
      </w:pPr>
      <w:r w:rsidRPr="005600BD">
        <w:rPr>
          <w:rFonts w:ascii="Bookman Old Style" w:hAnsi="Bookman Old Style"/>
          <w:color w:val="auto"/>
        </w:rPr>
        <w:t>A compra de re</w:t>
      </w:r>
      <w:r w:rsidRPr="005600BD">
        <w:rPr>
          <w:rFonts w:ascii="Bookman Old Style" w:hAnsi="Bookman Old Style"/>
          <w:bCs/>
          <w:color w:val="auto"/>
        </w:rPr>
        <w:t>médios</w:t>
      </w:r>
      <w:r w:rsidRPr="005600BD">
        <w:rPr>
          <w:rFonts w:ascii="Bookman Old Style" w:hAnsi="Bookman Old Style"/>
          <w:color w:val="auto"/>
        </w:rPr>
        <w:t xml:space="preserve"> devido à Epidemia de Dengue, conforme estipulado pelo Decreto Municipal nº 4.103/2024, encontra respaldo legal no inciso VIII da Lei 14.133/2021. Este trecho da lei permite a aquisição em casos de emergência ou calamidade pública, quando há urgência em resolver situações que possam causar danos ou comprometer a continuidade dos serviços públicos ou a segurança de pessoas, obras, serviços, equipamentos e outros bens, tanto públicos quanto privados. Esse dispositivo autoriza exclusivamente a aquisição dos bens necessários para lidar com a situação emergencial ou calamitosa em questão.</w:t>
      </w:r>
    </w:p>
    <w:p w:rsidR="002174CE" w:rsidRPr="005600BD" w:rsidRDefault="002174CE" w:rsidP="002174CE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5600B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216753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="007C177D" w:rsidRPr="00216753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POR ITEM</w:t>
      </w:r>
      <w:r w:rsidRPr="005600B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216753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5600B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2174CE" w:rsidRPr="005600BD" w:rsidRDefault="002174CE" w:rsidP="002174CE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2174CE" w:rsidRPr="005600BD" w:rsidRDefault="002174CE" w:rsidP="005600BD">
      <w:pPr>
        <w:pStyle w:val="PargrafodaLista"/>
        <w:numPr>
          <w:ilvl w:val="0"/>
          <w:numId w:val="3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5600BD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5600BD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p w:rsidR="002174CE" w:rsidRPr="005600BD" w:rsidRDefault="002174CE" w:rsidP="002174CE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  <w:t>Os valores estimados foram obtidos através do Banco de Preço</w:t>
      </w:r>
      <w:r w:rsidR="00C17148" w:rsidRPr="005600BD">
        <w:rPr>
          <w:rFonts w:ascii="Bookman Old Style" w:hAnsi="Bookman Old Style"/>
          <w:sz w:val="20"/>
          <w:szCs w:val="20"/>
        </w:rPr>
        <w:t xml:space="preserve"> e orçamento de fornecedores,</w:t>
      </w:r>
      <w:r w:rsidRPr="005600BD">
        <w:rPr>
          <w:rFonts w:ascii="Bookman Old Style" w:hAnsi="Bookman Old Style"/>
          <w:sz w:val="20"/>
          <w:szCs w:val="20"/>
        </w:rPr>
        <w:t xml:space="preserve"> sendo que o valor médio total da aquisição, no importe de </w:t>
      </w:r>
      <w:r w:rsidRPr="00565191">
        <w:rPr>
          <w:rFonts w:ascii="Bookman Old Style" w:hAnsi="Bookman Old Style"/>
          <w:b/>
          <w:sz w:val="20"/>
          <w:szCs w:val="20"/>
        </w:rPr>
        <w:t xml:space="preserve">R$ </w:t>
      </w:r>
      <w:r w:rsidR="009A68B0" w:rsidRPr="009A68B0">
        <w:rPr>
          <w:rFonts w:ascii="Bookman Old Style" w:hAnsi="Bookman Old Style" w:cs="Arial"/>
          <w:b/>
          <w:sz w:val="20"/>
          <w:szCs w:val="20"/>
        </w:rPr>
        <w:t>195.565,85 (Cento e Noventa e Cinco Mil e Quinhentos e Sessenta e Cinco Reais e Oitenta e Cinco Centavos)</w:t>
      </w:r>
      <w:r w:rsidRPr="005600BD">
        <w:rPr>
          <w:rFonts w:ascii="Bookman Old Style" w:hAnsi="Bookman Old Style" w:cs="Arial"/>
          <w:sz w:val="20"/>
          <w:szCs w:val="20"/>
        </w:rPr>
        <w:t>,</w:t>
      </w:r>
      <w:r w:rsidRPr="005600BD">
        <w:rPr>
          <w:rFonts w:ascii="Bookman Old Style" w:hAnsi="Bookman Old Style"/>
          <w:sz w:val="20"/>
          <w:szCs w:val="20"/>
        </w:rPr>
        <w:t xml:space="preserve"> conforme a pesq</w:t>
      </w:r>
      <w:r w:rsidR="00C17148" w:rsidRPr="005600BD">
        <w:rPr>
          <w:rFonts w:ascii="Bookman Old Style" w:hAnsi="Bookman Old Style"/>
          <w:sz w:val="20"/>
          <w:szCs w:val="20"/>
        </w:rPr>
        <w:t>uisa realizada</w:t>
      </w:r>
      <w:r w:rsidRPr="005600BD">
        <w:rPr>
          <w:rFonts w:ascii="Bookman Old Style" w:hAnsi="Bookman Old Style"/>
          <w:sz w:val="20"/>
          <w:szCs w:val="20"/>
        </w:rPr>
        <w:t>.</w:t>
      </w:r>
    </w:p>
    <w:p w:rsidR="002174CE" w:rsidRPr="005600BD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2174CE" w:rsidRPr="005600BD" w:rsidRDefault="002174CE" w:rsidP="002174CE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2174CE" w:rsidRPr="005600BD" w:rsidRDefault="002174CE" w:rsidP="005600BD">
      <w:pPr>
        <w:pStyle w:val="PargrafodaLista"/>
        <w:numPr>
          <w:ilvl w:val="0"/>
          <w:numId w:val="3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5600BD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2174CE" w:rsidRPr="005600BD" w:rsidRDefault="00C17148" w:rsidP="002174CE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C17148" w:rsidRPr="005600BD" w:rsidRDefault="00C17148" w:rsidP="002174CE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9A0586" w:rsidRPr="005600BD" w:rsidRDefault="009A0586" w:rsidP="002174CE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9A0586" w:rsidRPr="005600BD" w:rsidRDefault="00C17148" w:rsidP="00F97223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5600BD">
        <w:rPr>
          <w:rFonts w:ascii="Bookman Old Style" w:hAnsi="Bookman Old Style"/>
          <w:iCs/>
          <w:color w:val="auto"/>
        </w:rPr>
        <w:t>Santo Antonio do Sudoeste, 1</w:t>
      </w:r>
      <w:r w:rsidR="006B5C16" w:rsidRPr="005600BD">
        <w:rPr>
          <w:rFonts w:ascii="Bookman Old Style" w:hAnsi="Bookman Old Style"/>
          <w:iCs/>
          <w:color w:val="auto"/>
        </w:rPr>
        <w:t>6</w:t>
      </w:r>
      <w:r w:rsidRPr="005600BD">
        <w:rPr>
          <w:rFonts w:ascii="Bookman Old Style" w:hAnsi="Bookman Old Style"/>
          <w:iCs/>
          <w:color w:val="auto"/>
        </w:rPr>
        <w:t xml:space="preserve"> de </w:t>
      </w:r>
      <w:r w:rsidR="006B5C16" w:rsidRPr="005600BD">
        <w:rPr>
          <w:rFonts w:ascii="Bookman Old Style" w:hAnsi="Bookman Old Style"/>
          <w:iCs/>
          <w:color w:val="auto"/>
        </w:rPr>
        <w:t>abril</w:t>
      </w:r>
      <w:r w:rsidRPr="005600BD">
        <w:rPr>
          <w:rFonts w:ascii="Bookman Old Style" w:hAnsi="Bookman Old Style"/>
          <w:iCs/>
          <w:color w:val="auto"/>
        </w:rPr>
        <w:t xml:space="preserve"> de 2024.</w:t>
      </w:r>
    </w:p>
    <w:p w:rsidR="009A0586" w:rsidRPr="005600BD" w:rsidRDefault="009A0586" w:rsidP="002174C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9A0586" w:rsidRPr="005600BD" w:rsidRDefault="009A0586" w:rsidP="002174C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9A0586" w:rsidRPr="005600BD" w:rsidRDefault="009A0586" w:rsidP="002174C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2174CE" w:rsidRPr="005600BD" w:rsidRDefault="00C17148" w:rsidP="00C17148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5600BD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C17148" w:rsidRPr="005600BD" w:rsidRDefault="006B5C16" w:rsidP="00C17148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5600BD">
        <w:rPr>
          <w:rFonts w:ascii="Bookman Old Style" w:eastAsia="Arial" w:hAnsi="Bookman Old Style" w:cs="Arial"/>
          <w:sz w:val="20"/>
          <w:szCs w:val="20"/>
        </w:rPr>
        <w:t>JOÃO MARIA DE SOUZA BOENO</w:t>
      </w:r>
    </w:p>
    <w:p w:rsidR="006B0418" w:rsidRPr="005600BD" w:rsidRDefault="006B5C16" w:rsidP="009A0586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5600BD">
        <w:rPr>
          <w:rFonts w:ascii="Bookman Old Style" w:eastAsia="Arial" w:hAnsi="Bookman Old Style" w:cs="Arial"/>
          <w:sz w:val="20"/>
          <w:szCs w:val="20"/>
        </w:rPr>
        <w:t>Secretário</w:t>
      </w:r>
      <w:r w:rsidR="00C17148" w:rsidRPr="005600BD">
        <w:rPr>
          <w:rFonts w:ascii="Bookman Old Style" w:eastAsia="Arial" w:hAnsi="Bookman Old Style" w:cs="Arial"/>
          <w:sz w:val="20"/>
          <w:szCs w:val="20"/>
        </w:rPr>
        <w:t xml:space="preserve"> Municipal de Saúde</w:t>
      </w:r>
    </w:p>
    <w:sectPr w:rsidR="006B0418" w:rsidRPr="005600BD" w:rsidSect="00C17148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1A" w:rsidRDefault="004941E9">
      <w:r>
        <w:separator/>
      </w:r>
    </w:p>
  </w:endnote>
  <w:endnote w:type="continuationSeparator" w:id="0">
    <w:p w:rsidR="000F591A" w:rsidRDefault="0049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4C0628">
    <w:pPr>
      <w:pStyle w:val="Rodap"/>
    </w:pPr>
  </w:p>
  <w:p w:rsidR="00F7357E" w:rsidRDefault="004C06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1A" w:rsidRDefault="004941E9">
      <w:r>
        <w:separator/>
      </w:r>
    </w:p>
  </w:footnote>
  <w:footnote w:type="continuationSeparator" w:id="0">
    <w:p w:rsidR="000F591A" w:rsidRDefault="0049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726F21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712C7B38" wp14:editId="528003E3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726F21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726F21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726F21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726F21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4C0628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hybridMultilevel"/>
    <w:tmpl w:val="5CA8F0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04DE"/>
    <w:multiLevelType w:val="multilevel"/>
    <w:tmpl w:val="3238E9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8530F5"/>
    <w:multiLevelType w:val="hybridMultilevel"/>
    <w:tmpl w:val="64349B12"/>
    <w:lvl w:ilvl="0" w:tplc="E1065E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E"/>
    <w:rsid w:val="00002935"/>
    <w:rsid w:val="00033753"/>
    <w:rsid w:val="00045452"/>
    <w:rsid w:val="00071623"/>
    <w:rsid w:val="00092DF6"/>
    <w:rsid w:val="000B0B7B"/>
    <w:rsid w:val="000D4F67"/>
    <w:rsid w:val="000F591A"/>
    <w:rsid w:val="00115773"/>
    <w:rsid w:val="00116034"/>
    <w:rsid w:val="00116109"/>
    <w:rsid w:val="00213C81"/>
    <w:rsid w:val="00216753"/>
    <w:rsid w:val="002174CE"/>
    <w:rsid w:val="002819BF"/>
    <w:rsid w:val="003C480E"/>
    <w:rsid w:val="003D7B55"/>
    <w:rsid w:val="00424487"/>
    <w:rsid w:val="00447707"/>
    <w:rsid w:val="004941E9"/>
    <w:rsid w:val="004C0628"/>
    <w:rsid w:val="004C0699"/>
    <w:rsid w:val="005600BD"/>
    <w:rsid w:val="00565191"/>
    <w:rsid w:val="00595E3A"/>
    <w:rsid w:val="005B3FE1"/>
    <w:rsid w:val="00621455"/>
    <w:rsid w:val="006618F3"/>
    <w:rsid w:val="006B0418"/>
    <w:rsid w:val="006B575C"/>
    <w:rsid w:val="006B5C16"/>
    <w:rsid w:val="006B7AE0"/>
    <w:rsid w:val="006D77A2"/>
    <w:rsid w:val="006F21B0"/>
    <w:rsid w:val="0071433A"/>
    <w:rsid w:val="00722071"/>
    <w:rsid w:val="00726F21"/>
    <w:rsid w:val="007652F9"/>
    <w:rsid w:val="00766E97"/>
    <w:rsid w:val="007B7BF5"/>
    <w:rsid w:val="007C177D"/>
    <w:rsid w:val="00880A72"/>
    <w:rsid w:val="008C46C3"/>
    <w:rsid w:val="008D3952"/>
    <w:rsid w:val="008F3F77"/>
    <w:rsid w:val="00904BA6"/>
    <w:rsid w:val="009073D3"/>
    <w:rsid w:val="009522EC"/>
    <w:rsid w:val="009A0586"/>
    <w:rsid w:val="009A4710"/>
    <w:rsid w:val="009A68B0"/>
    <w:rsid w:val="00A420F9"/>
    <w:rsid w:val="00A508F7"/>
    <w:rsid w:val="00A634FA"/>
    <w:rsid w:val="00A9194A"/>
    <w:rsid w:val="00AA08E0"/>
    <w:rsid w:val="00AE0511"/>
    <w:rsid w:val="00BC4383"/>
    <w:rsid w:val="00BE118E"/>
    <w:rsid w:val="00C17148"/>
    <w:rsid w:val="00C176D2"/>
    <w:rsid w:val="00C460BC"/>
    <w:rsid w:val="00CF4EE8"/>
    <w:rsid w:val="00D82845"/>
    <w:rsid w:val="00DD4240"/>
    <w:rsid w:val="00E02FB6"/>
    <w:rsid w:val="00E11A24"/>
    <w:rsid w:val="00E42337"/>
    <w:rsid w:val="00E447C7"/>
    <w:rsid w:val="00E541C2"/>
    <w:rsid w:val="00E6005E"/>
    <w:rsid w:val="00EB61BB"/>
    <w:rsid w:val="00F138A3"/>
    <w:rsid w:val="00F458ED"/>
    <w:rsid w:val="00F53517"/>
    <w:rsid w:val="00F8410F"/>
    <w:rsid w:val="00F879C8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4C98-EE4A-40D2-856C-CB14F8A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74CE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7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174CE"/>
    <w:pPr>
      <w:ind w:left="720"/>
      <w:contextualSpacing/>
    </w:pPr>
  </w:style>
  <w:style w:type="character" w:styleId="Hyperlink">
    <w:name w:val="Hyperlink"/>
    <w:uiPriority w:val="99"/>
    <w:rsid w:val="002174CE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2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4CE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174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174CE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174CE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2174CE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2174CE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2174CE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2174CE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2174CE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2174CE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174CE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2174CE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4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80E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E3A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02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CA44-8DD5-48B7-83C9-76E1E6A4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4414</Words>
  <Characters>23840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27</cp:revision>
  <cp:lastPrinted>2024-04-17T19:59:00Z</cp:lastPrinted>
  <dcterms:created xsi:type="dcterms:W3CDTF">2024-03-28T19:59:00Z</dcterms:created>
  <dcterms:modified xsi:type="dcterms:W3CDTF">2024-04-17T20:42:00Z</dcterms:modified>
</cp:coreProperties>
</file>