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9C" w:rsidRPr="007425F0" w:rsidRDefault="00D30F9C" w:rsidP="00D30F9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7425F0">
        <w:rPr>
          <w:rFonts w:ascii="Bookman Old Style" w:eastAsia="Calibri" w:hAnsi="Bookman Old Style" w:cs="Times New Roman"/>
          <w:b/>
          <w:sz w:val="20"/>
          <w:szCs w:val="20"/>
        </w:rPr>
        <w:t>TERMO DE REFERÊNCIA</w:t>
      </w:r>
    </w:p>
    <w:p w:rsidR="00D30F9C" w:rsidRPr="007425F0" w:rsidRDefault="00D30F9C" w:rsidP="00D30F9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0"/>
          <w:szCs w:val="20"/>
        </w:rPr>
      </w:pPr>
      <w:r w:rsidRPr="007425F0">
        <w:rPr>
          <w:rFonts w:ascii="Bookman Old Style" w:eastAsia="Calibri" w:hAnsi="Bookman Old Style" w:cs="Times New Roman"/>
          <w:b/>
          <w:bCs/>
          <w:sz w:val="20"/>
          <w:szCs w:val="20"/>
        </w:rPr>
        <w:t>Art. 6º, inciso XXIII, alínea ‘a’ a ‘j’, da Lei nº 14.133/2021</w:t>
      </w:r>
    </w:p>
    <w:p w:rsidR="00D30F9C" w:rsidRPr="007425F0" w:rsidRDefault="00D30F9C" w:rsidP="00D30F9C">
      <w:pPr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D30F9C" w:rsidRPr="007425F0" w:rsidRDefault="00D30F9C" w:rsidP="00D30F9C">
      <w:pPr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  <w:r w:rsidRPr="007425F0">
        <w:rPr>
          <w:rFonts w:ascii="Bookman Old Style" w:eastAsia="Calibri" w:hAnsi="Bookman Old Style" w:cs="Times New Roman"/>
          <w:b/>
          <w:bCs/>
          <w:sz w:val="20"/>
          <w:szCs w:val="20"/>
        </w:rPr>
        <w:t xml:space="preserve">1.    DEFINIÇÃO DO OBJETO </w:t>
      </w:r>
      <w:r w:rsidRPr="007425F0">
        <w:rPr>
          <w:rFonts w:ascii="Bookman Old Style" w:eastAsia="Calibri" w:hAnsi="Bookman Old Style" w:cs="Times New Roman"/>
          <w:b/>
          <w:sz w:val="20"/>
          <w:szCs w:val="20"/>
        </w:rPr>
        <w:t>(Art. 6º, inciso XXIII, alínea ‘a’, da Lei nº 14.133/2021).</w:t>
      </w:r>
    </w:p>
    <w:p w:rsidR="00D30F9C" w:rsidRPr="003E71CD" w:rsidRDefault="00D30F9C" w:rsidP="00D30F9C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Bookman Old Style" w:eastAsia="MS Mincho" w:hAnsi="Bookman Old Style" w:cs="Arial"/>
          <w:sz w:val="20"/>
          <w:szCs w:val="20"/>
        </w:rPr>
      </w:pPr>
      <w:r>
        <w:rPr>
          <w:rFonts w:ascii="Bookman Old Style" w:eastAsia="MS Mincho" w:hAnsi="Bookman Old Style" w:cs="Arial"/>
          <w:sz w:val="20"/>
          <w:szCs w:val="20"/>
        </w:rPr>
        <w:t>Constitui o objeto deste certame a</w:t>
      </w:r>
      <w:r w:rsidRPr="003E71CD">
        <w:rPr>
          <w:rFonts w:ascii="Bookman Old Style" w:eastAsia="MS Mincho" w:hAnsi="Bookman Old Style" w:cs="Arial"/>
          <w:sz w:val="20"/>
          <w:szCs w:val="20"/>
        </w:rPr>
        <w:t xml:space="preserve"> </w:t>
      </w:r>
      <w:r>
        <w:rPr>
          <w:rFonts w:ascii="Bookman Old Style" w:eastAsia="MS Mincho" w:hAnsi="Bookman Old Style" w:cs="Arial"/>
          <w:sz w:val="20"/>
          <w:szCs w:val="20"/>
        </w:rPr>
        <w:t>C</w:t>
      </w:r>
      <w:r w:rsidRPr="00D30F9C">
        <w:rPr>
          <w:rFonts w:ascii="Bookman Old Style" w:eastAsia="MS Mincho" w:hAnsi="Bookman Old Style" w:cs="Arial"/>
          <w:sz w:val="20"/>
          <w:szCs w:val="20"/>
        </w:rPr>
        <w:t>ontratação direta por inexigibilidade de Licitação de empresa especializada na prestação de serviços técnicos de consultoria e assistência técnica de engenharia, vinculado às obras dessa Secretaria, notadamente para a obra Contratação de empresa para construção Unidade Hospitalar do Município de Santo Antônio do Sudoeste, estado do Paraná</w:t>
      </w:r>
      <w:r w:rsidRPr="003E71CD">
        <w:rPr>
          <w:rFonts w:ascii="Bookman Old Style" w:eastAsia="MS Mincho" w:hAnsi="Bookman Old Style" w:cs="Arial"/>
          <w:sz w:val="20"/>
          <w:szCs w:val="20"/>
        </w:rPr>
        <w:t>.</w:t>
      </w:r>
    </w:p>
    <w:p w:rsidR="00D30F9C" w:rsidRPr="0045434D" w:rsidRDefault="00D30F9C" w:rsidP="00D30F9C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D30F9C" w:rsidRPr="007425F0" w:rsidRDefault="00D30F9C" w:rsidP="00D30F9C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Bookman Old Style" w:eastAsia="WenQuanYi Micro Hei" w:hAnsi="Bookman Old Style" w:cs="Arial"/>
          <w:b/>
          <w:sz w:val="20"/>
          <w:szCs w:val="20"/>
          <w:lang w:eastAsia="zh-CN" w:bidi="hi-IN"/>
        </w:rPr>
      </w:pPr>
      <w:r w:rsidRPr="007425F0">
        <w:rPr>
          <w:rFonts w:ascii="Bookman Old Style" w:eastAsia="WenQuanYi Micro Hei" w:hAnsi="Bookman Old Style" w:cs="Arial"/>
          <w:sz w:val="20"/>
          <w:szCs w:val="20"/>
          <w:lang w:eastAsia="zh-CN" w:bidi="hi-IN"/>
        </w:rPr>
        <w:t>Descrição detalhada do objeto:</w:t>
      </w:r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901"/>
        <w:gridCol w:w="3938"/>
        <w:gridCol w:w="1062"/>
        <w:gridCol w:w="758"/>
        <w:gridCol w:w="1213"/>
        <w:gridCol w:w="1177"/>
      </w:tblGrid>
      <w:tr w:rsidR="00D30F9C" w:rsidRPr="00BD60E8" w:rsidTr="001028A7">
        <w:trPr>
          <w:jc w:val="center"/>
        </w:trPr>
        <w:tc>
          <w:tcPr>
            <w:tcW w:w="887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F9C" w:rsidRPr="00BD60E8" w:rsidRDefault="00D30F9C" w:rsidP="001028A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BD60E8">
              <w:rPr>
                <w:rFonts w:ascii="Bookman Old Style" w:hAnsi="Bookman Old Style"/>
                <w:sz w:val="16"/>
                <w:szCs w:val="16"/>
                <w:lang w:val="x-none"/>
              </w:rPr>
              <w:t>LOTE: 1 - Lote 001</w:t>
            </w:r>
          </w:p>
        </w:tc>
      </w:tr>
      <w:tr w:rsidR="00D30F9C" w:rsidRPr="00BD60E8" w:rsidTr="001028A7">
        <w:trPr>
          <w:jc w:val="center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F9C" w:rsidRPr="00BD60E8" w:rsidRDefault="00D30F9C" w:rsidP="001028A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BD60E8">
              <w:rPr>
                <w:rFonts w:ascii="Bookman Old Style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F9C" w:rsidRPr="00BD60E8" w:rsidRDefault="00D30F9C" w:rsidP="001028A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BD60E8">
              <w:rPr>
                <w:rFonts w:ascii="Bookman Old Style" w:hAnsi="Bookman Old Style"/>
                <w:sz w:val="16"/>
                <w:szCs w:val="16"/>
                <w:lang w:val="x-none"/>
              </w:rPr>
              <w:t>Código do produto/</w:t>
            </w:r>
          </w:p>
          <w:p w:rsidR="00D30F9C" w:rsidRPr="00BD60E8" w:rsidRDefault="00D30F9C" w:rsidP="001028A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BD60E8">
              <w:rPr>
                <w:rFonts w:ascii="Bookman Old Style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F9C" w:rsidRPr="00BD60E8" w:rsidRDefault="00D30F9C" w:rsidP="001028A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BD60E8">
              <w:rPr>
                <w:rFonts w:ascii="Bookman Old Style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F9C" w:rsidRPr="00BD60E8" w:rsidRDefault="00D30F9C" w:rsidP="001028A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BD60E8">
              <w:rPr>
                <w:rFonts w:ascii="Bookman Old Style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F9C" w:rsidRPr="00BD60E8" w:rsidRDefault="00D30F9C" w:rsidP="001028A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BD60E8">
              <w:rPr>
                <w:rFonts w:ascii="Bookman Old Style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F9C" w:rsidRPr="00BD60E8" w:rsidRDefault="00D30F9C" w:rsidP="001028A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BD60E8">
              <w:rPr>
                <w:rFonts w:ascii="Bookman Old Style" w:hAnsi="Bookman Old Style"/>
                <w:sz w:val="16"/>
                <w:szCs w:val="16"/>
                <w:lang w:val="x-none"/>
              </w:rPr>
              <w:t>Preço máximo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F9C" w:rsidRPr="00BD60E8" w:rsidRDefault="00D30F9C" w:rsidP="001028A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BD60E8">
              <w:rPr>
                <w:rFonts w:ascii="Bookman Old Style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D30F9C" w:rsidRPr="00BD60E8" w:rsidTr="001028A7">
        <w:trPr>
          <w:trHeight w:val="315"/>
          <w:jc w:val="center"/>
        </w:trPr>
        <w:tc>
          <w:tcPr>
            <w:tcW w:w="53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F9C" w:rsidRPr="00BD60E8" w:rsidRDefault="00D30F9C" w:rsidP="001028A7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D60E8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F9C" w:rsidRPr="00BD60E8" w:rsidRDefault="00D30F9C" w:rsidP="001028A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F9C" w:rsidRPr="00D30F9C" w:rsidRDefault="00D30F9C" w:rsidP="00D3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Acompanhamento de Obra</w:t>
            </w:r>
            <w:r w:rsidRPr="00D30F9C">
              <w:rPr>
                <w:rFonts w:ascii="Bookman Old Style" w:hAnsi="Bookman Old Style" w:cs="Arial"/>
                <w:sz w:val="16"/>
                <w:szCs w:val="16"/>
              </w:rPr>
              <w:t xml:space="preserve"> no âmbito do</w:t>
            </w:r>
          </w:p>
          <w:p w:rsidR="00D30F9C" w:rsidRDefault="00D30F9C" w:rsidP="00D3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“CAIXA Políticas Públicas”.</w:t>
            </w:r>
          </w:p>
          <w:p w:rsidR="00D30F9C" w:rsidRPr="00BD60E8" w:rsidRDefault="00D30F9C" w:rsidP="00D3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201E1E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Obra: </w:t>
            </w:r>
            <w:r w:rsidRPr="00D30F9C">
              <w:rPr>
                <w:rFonts w:ascii="Bookman Old Style" w:hAnsi="Bookman Old Style" w:cs="Arial"/>
                <w:sz w:val="16"/>
                <w:szCs w:val="16"/>
              </w:rPr>
              <w:t>Unidade Hospitalar do Município de Santo Antônio do Sudoeste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– PR.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F9C" w:rsidRPr="00BD60E8" w:rsidRDefault="00D30F9C" w:rsidP="001028A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  <w:r w:rsidRPr="00BD60E8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F9C" w:rsidRPr="00BD60E8" w:rsidRDefault="00D30F9C" w:rsidP="001028A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SERV</w:t>
            </w:r>
          </w:p>
          <w:p w:rsidR="00D30F9C" w:rsidRPr="00BD60E8" w:rsidRDefault="00D30F9C" w:rsidP="001028A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F9C" w:rsidRPr="00BD60E8" w:rsidRDefault="00D30F9C" w:rsidP="001028A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161.300,88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F9C" w:rsidRPr="00BD60E8" w:rsidRDefault="00D30F9C" w:rsidP="001028A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161.300,88</w:t>
            </w:r>
          </w:p>
        </w:tc>
      </w:tr>
      <w:tr w:rsidR="00D30F9C" w:rsidRPr="00BD60E8" w:rsidTr="001028A7">
        <w:trPr>
          <w:jc w:val="center"/>
        </w:trPr>
        <w:tc>
          <w:tcPr>
            <w:tcW w:w="7786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F9C" w:rsidRPr="00BD60E8" w:rsidRDefault="00D30F9C" w:rsidP="001028A7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  <w:lang w:val="x-none"/>
              </w:rPr>
            </w:pPr>
            <w:r w:rsidRPr="00BD60E8">
              <w:rPr>
                <w:rFonts w:ascii="Bookman Old Style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F9C" w:rsidRPr="00D30F9C" w:rsidRDefault="00D30F9C" w:rsidP="001028A7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161.300,88</w:t>
            </w:r>
          </w:p>
        </w:tc>
      </w:tr>
    </w:tbl>
    <w:p w:rsidR="00D30F9C" w:rsidRPr="007425F0" w:rsidRDefault="00D30F9C" w:rsidP="00D30F9C">
      <w:pPr>
        <w:widowControl w:val="0"/>
        <w:spacing w:after="0" w:line="240" w:lineRule="auto"/>
        <w:jc w:val="both"/>
        <w:rPr>
          <w:rFonts w:ascii="Bookman Old Style" w:eastAsia="WenQuanYi Micro Hei" w:hAnsi="Bookman Old Style" w:cs="Arial"/>
          <w:b/>
          <w:sz w:val="20"/>
          <w:szCs w:val="20"/>
          <w:lang w:eastAsia="zh-CN" w:bidi="hi-IN"/>
        </w:rPr>
      </w:pPr>
    </w:p>
    <w:p w:rsidR="00D30F9C" w:rsidRPr="007425F0" w:rsidRDefault="00D30F9C" w:rsidP="00D30F9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bCs/>
          <w:sz w:val="20"/>
          <w:szCs w:val="20"/>
          <w:lang w:eastAsia="pt-BR"/>
        </w:rPr>
      </w:pPr>
      <w:r w:rsidRPr="007425F0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O prazo de vigência da contratação é de 12 (doze) meses contados do(a) assinatura do contrato, na forma do artigo 105 da Lei n° 14.133/2021</w:t>
      </w: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.</w:t>
      </w:r>
    </w:p>
    <w:p w:rsidR="00D30F9C" w:rsidRPr="007425F0" w:rsidRDefault="00D30F9C" w:rsidP="00D30F9C">
      <w:pPr>
        <w:spacing w:after="0"/>
        <w:contextualSpacing/>
        <w:jc w:val="both"/>
        <w:rPr>
          <w:rFonts w:ascii="Bookman Old Style" w:eastAsia="Times New Roman" w:hAnsi="Bookman Old Style" w:cs="Arial"/>
          <w:bCs/>
          <w:sz w:val="20"/>
          <w:szCs w:val="20"/>
          <w:lang w:eastAsia="pt-BR"/>
        </w:rPr>
      </w:pPr>
    </w:p>
    <w:p w:rsidR="00D30F9C" w:rsidRPr="007425F0" w:rsidRDefault="00D30F9C" w:rsidP="00124FDC">
      <w:pPr>
        <w:widowControl w:val="0"/>
        <w:numPr>
          <w:ilvl w:val="1"/>
          <w:numId w:val="3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 w:eastAsia="pt-BR"/>
        </w:rPr>
      </w:pPr>
      <w:r w:rsidRPr="007425F0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O custo estimado total da contratação é de </w:t>
      </w:r>
      <w:r w:rsidRPr="007425F0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R$ </w:t>
      </w:r>
      <w:r w:rsidR="00124FDC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161.300,88</w:t>
      </w:r>
      <w:r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 (</w:t>
      </w:r>
      <w:r w:rsidR="00124FDC" w:rsidRPr="00124FDC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Cento e Sessenta e Um Mil e Trezentos Reais e Oitenta e Oito Centavos</w:t>
      </w:r>
      <w:r w:rsidRPr="007425F0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).</w:t>
      </w:r>
    </w:p>
    <w:p w:rsidR="00D30F9C" w:rsidRPr="007425F0" w:rsidRDefault="00D30F9C" w:rsidP="00D30F9C">
      <w:pPr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val="pt-PT" w:eastAsia="pt-BR"/>
        </w:rPr>
      </w:pPr>
    </w:p>
    <w:p w:rsidR="00D30F9C" w:rsidRPr="007425F0" w:rsidRDefault="00D30F9C" w:rsidP="00D30F9C">
      <w:pPr>
        <w:widowControl w:val="0"/>
        <w:tabs>
          <w:tab w:val="left" w:pos="1017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D30F9C" w:rsidRDefault="00D30F9C" w:rsidP="00D30F9C">
      <w:pPr>
        <w:widowControl w:val="0"/>
        <w:numPr>
          <w:ilvl w:val="0"/>
          <w:numId w:val="2"/>
        </w:numPr>
        <w:tabs>
          <w:tab w:val="left" w:pos="101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7425F0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 FUNDAMENTAÇÃO E DESCRIÇÃO DA NECESSIDADE DA CONTRATAÇÃO (art. 6º, inciso XXIII, alínea ‘b’ da Lei n. 14.133/2021).</w:t>
      </w:r>
    </w:p>
    <w:p w:rsidR="00D30F9C" w:rsidRDefault="00D30F9C" w:rsidP="00D30F9C">
      <w:pPr>
        <w:widowControl w:val="0"/>
        <w:tabs>
          <w:tab w:val="left" w:pos="1017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</w:p>
    <w:p w:rsidR="00124FDC" w:rsidRPr="00124FDC" w:rsidRDefault="00124FDC" w:rsidP="00124FDC">
      <w:pPr>
        <w:pStyle w:val="PargrafodaLista"/>
        <w:tabs>
          <w:tab w:val="left" w:pos="10170"/>
        </w:tabs>
        <w:adjustRightInd w:val="0"/>
        <w:ind w:firstLine="567"/>
        <w:rPr>
          <w:rFonts w:ascii="Bookman Old Style" w:eastAsia="Times New Roman" w:hAnsi="Bookman Old Style" w:cs="Arial"/>
          <w:sz w:val="20"/>
          <w:szCs w:val="20"/>
          <w:lang w:val="pt-BR" w:eastAsia="pt-BR"/>
        </w:rPr>
      </w:pPr>
      <w:r w:rsidRPr="00124FDC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>Após vislumbrar todo o histórico e expertise demonstrados nos subsídios apresentados pela CAIXA, a contratação da assessoria especializada se mostrou de grande relevância para essa Secretaria/Município em especial para a execução desse proj</w:t>
      </w:r>
      <w:r w:rsidR="00627E50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>eto</w:t>
      </w:r>
      <w:r w:rsidRPr="00124FDC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>. Fica demonstrado que a variabilidade e a quantidade de obras analisadas pelo corpo técnico da CAIXA na execução das políticas públicas implementadas nas mais variadas regiões e municípios desse País nos últimos 24 anos, se revelou muito eficiente não só no aspecto da economicidade trazida nas análises dos projetos e orçamentos, mas também no menor tempo de execução da obra e menor quantidade de aditivos.</w:t>
      </w:r>
    </w:p>
    <w:p w:rsidR="00124FDC" w:rsidRPr="00124FDC" w:rsidRDefault="00124FDC" w:rsidP="00124FDC">
      <w:pPr>
        <w:pStyle w:val="PargrafodaLista"/>
        <w:tabs>
          <w:tab w:val="left" w:pos="10170"/>
        </w:tabs>
        <w:adjustRightInd w:val="0"/>
        <w:ind w:firstLine="567"/>
        <w:rPr>
          <w:rFonts w:ascii="Bookman Old Style" w:eastAsia="Times New Roman" w:hAnsi="Bookman Old Style" w:cs="Arial"/>
          <w:sz w:val="20"/>
          <w:szCs w:val="20"/>
          <w:lang w:val="pt-BR" w:eastAsia="pt-BR"/>
        </w:rPr>
      </w:pPr>
      <w:r w:rsidRPr="00124FDC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>Somados a isso temos também a credibilidade que goza a CAIXA junto aos tribunais de contas, órgãos controladores e Ministério Público. A qualidade imprimida nas obras acompanhadas pela CAIXA em conjunto com as equipes municipais, resultam em obras mais bem projetadas, orçadas, executadas, pagas, acabadas e entregues à população.</w:t>
      </w:r>
    </w:p>
    <w:p w:rsidR="00124FDC" w:rsidRPr="00124FDC" w:rsidRDefault="00124FDC" w:rsidP="00124FDC">
      <w:pPr>
        <w:pStyle w:val="PargrafodaLista"/>
        <w:tabs>
          <w:tab w:val="left" w:pos="10170"/>
        </w:tabs>
        <w:adjustRightInd w:val="0"/>
        <w:ind w:firstLine="567"/>
        <w:rPr>
          <w:rFonts w:ascii="Bookman Old Style" w:eastAsia="Times New Roman" w:hAnsi="Bookman Old Style" w:cs="Arial"/>
          <w:sz w:val="20"/>
          <w:szCs w:val="20"/>
          <w:lang w:val="pt-BR" w:eastAsia="pt-BR"/>
        </w:rPr>
      </w:pPr>
      <w:r w:rsidRPr="00124FDC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>Outrossim, diante da quantidade de obras e projetos desenhados para serem executados nos próximos meses e a limitada força de trabalho humano, temos a urgência que se encaminhe esses projetos ao certamente licitatório o mais rápido</w:t>
      </w:r>
      <w:r w:rsidR="00627E50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 xml:space="preserve"> possível e a contratação desse </w:t>
      </w:r>
      <w:r w:rsidRPr="00124FDC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 xml:space="preserve">apoio/assessoramento técnico contribuirá para que consigamos dar a velocidade necessária que esses projetos requerem. </w:t>
      </w:r>
    </w:p>
    <w:p w:rsidR="00124FDC" w:rsidRPr="00124FDC" w:rsidRDefault="00124FDC" w:rsidP="00124FDC">
      <w:pPr>
        <w:pStyle w:val="PargrafodaLista"/>
        <w:tabs>
          <w:tab w:val="left" w:pos="10170"/>
        </w:tabs>
        <w:adjustRightInd w:val="0"/>
        <w:ind w:firstLine="567"/>
        <w:rPr>
          <w:rFonts w:ascii="Bookman Old Style" w:eastAsia="Times New Roman" w:hAnsi="Bookman Old Style" w:cs="Arial"/>
          <w:sz w:val="20"/>
          <w:szCs w:val="20"/>
          <w:lang w:val="pt-BR" w:eastAsia="pt-BR"/>
        </w:rPr>
      </w:pPr>
      <w:r w:rsidRPr="00124FDC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>Entendemos que a contratação da CAIXA trará velocidade de análise e execução e segurança ao processo.</w:t>
      </w:r>
    </w:p>
    <w:p w:rsidR="00124FDC" w:rsidRPr="00124FDC" w:rsidRDefault="00124FDC" w:rsidP="00627E50">
      <w:pPr>
        <w:pStyle w:val="PargrafodaLista"/>
        <w:tabs>
          <w:tab w:val="left" w:pos="10170"/>
        </w:tabs>
        <w:adjustRightInd w:val="0"/>
        <w:ind w:firstLine="567"/>
        <w:rPr>
          <w:rFonts w:ascii="Bookman Old Style" w:eastAsia="Times New Roman" w:hAnsi="Bookman Old Style" w:cs="Arial"/>
          <w:sz w:val="20"/>
          <w:szCs w:val="20"/>
          <w:lang w:val="pt-BR" w:eastAsia="pt-BR"/>
        </w:rPr>
      </w:pPr>
      <w:r w:rsidRPr="00124FDC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>Não vislumbramos no mercado outra empresa que possa nos atender com tão alto grau de expertise e especialização nessa área de análise e assessoramento na qualidade e rapidez que essa Municipalidade deseja.</w:t>
      </w:r>
    </w:p>
    <w:p w:rsidR="00124FDC" w:rsidRPr="00124FDC" w:rsidRDefault="00124FDC" w:rsidP="00627E50">
      <w:pPr>
        <w:pStyle w:val="PargrafodaLista"/>
        <w:tabs>
          <w:tab w:val="left" w:pos="10170"/>
        </w:tabs>
        <w:adjustRightInd w:val="0"/>
        <w:ind w:firstLine="567"/>
        <w:rPr>
          <w:rFonts w:ascii="Bookman Old Style" w:eastAsia="Times New Roman" w:hAnsi="Bookman Old Style" w:cs="Arial"/>
          <w:sz w:val="20"/>
          <w:szCs w:val="20"/>
          <w:lang w:val="pt-BR" w:eastAsia="pt-BR"/>
        </w:rPr>
      </w:pPr>
      <w:r w:rsidRPr="00124FDC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>Quanto ao preço do serviço constante da proposta entendemos viável e dentro das condições de mercado, senão vejamos:</w:t>
      </w:r>
    </w:p>
    <w:p w:rsidR="00627E50" w:rsidRDefault="00124FDC" w:rsidP="00627E50">
      <w:pPr>
        <w:pStyle w:val="PargrafodaLista"/>
        <w:tabs>
          <w:tab w:val="left" w:pos="10170"/>
        </w:tabs>
        <w:adjustRightInd w:val="0"/>
        <w:ind w:firstLine="426"/>
        <w:rPr>
          <w:rFonts w:ascii="Bookman Old Style" w:eastAsia="Times New Roman" w:hAnsi="Bookman Old Style" w:cs="Arial"/>
          <w:sz w:val="20"/>
          <w:szCs w:val="20"/>
          <w:lang w:val="pt-BR" w:eastAsia="pt-BR"/>
        </w:rPr>
      </w:pPr>
      <w:r w:rsidRPr="00124FDC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 xml:space="preserve">Na atuação como mandatária nos contratos de repasse de recursos de emendas voluntárias ou </w:t>
      </w:r>
      <w:r w:rsidRPr="00124FDC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lastRenderedPageBreak/>
        <w:t xml:space="preserve">impositivas da União, na qual a CAIXA presta os serviços de análise e acompanhamento de obras e pagamentos até a prestação de contas final, conforme estipulado pelas Portarias Interministeriais e Instruções Normativas publicadas e disponíveis no endereço </w:t>
      </w:r>
      <w:hyperlink r:id="rId7" w:history="1">
        <w:r w:rsidRPr="00124FDC">
          <w:rPr>
            <w:rStyle w:val="Hyperlink"/>
            <w:rFonts w:ascii="Bookman Old Style" w:eastAsia="Times New Roman" w:hAnsi="Bookman Old Style" w:cs="Arial"/>
            <w:sz w:val="20"/>
            <w:szCs w:val="20"/>
            <w:lang w:val="pt-BR" w:eastAsia="pt-BR"/>
          </w:rPr>
          <w:t>http://plataformamaisbrasil.gov.br/legislacao/instrucoes-</w:t>
        </w:r>
      </w:hyperlink>
      <w:r w:rsidRPr="00124FDC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 xml:space="preserve"> revelam quem em média a CAIXA foi remunerada em percentuais que variavam de 2,5% a 4,5% sobre o valor do investimento.</w:t>
      </w:r>
    </w:p>
    <w:p w:rsidR="00627E50" w:rsidRDefault="00124FDC" w:rsidP="00627E50">
      <w:pPr>
        <w:pStyle w:val="PargrafodaLista"/>
        <w:tabs>
          <w:tab w:val="left" w:pos="10170"/>
        </w:tabs>
        <w:adjustRightInd w:val="0"/>
        <w:ind w:firstLine="426"/>
        <w:rPr>
          <w:rFonts w:ascii="Bookman Old Style" w:eastAsia="Times New Roman" w:hAnsi="Bookman Old Style" w:cs="Arial"/>
          <w:sz w:val="20"/>
          <w:szCs w:val="20"/>
          <w:lang w:val="pt-BR" w:eastAsia="pt-BR"/>
        </w:rPr>
      </w:pPr>
      <w:r w:rsidRPr="00124FDC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>Assim, a escolha pela atuação junto à CAIXA sem mostra em pleno acordo com as exigências legais, e vem de encontro aos interesses da Administração Pública, podendo no entendimento dessa Secretaria ser contratada por um ou outro modelo de contratação direta.</w:t>
      </w:r>
    </w:p>
    <w:p w:rsidR="00124FDC" w:rsidRPr="00124FDC" w:rsidRDefault="00124FDC" w:rsidP="00627E50">
      <w:pPr>
        <w:pStyle w:val="PargrafodaLista"/>
        <w:tabs>
          <w:tab w:val="left" w:pos="10170"/>
        </w:tabs>
        <w:adjustRightInd w:val="0"/>
        <w:ind w:firstLine="426"/>
        <w:rPr>
          <w:rFonts w:ascii="Bookman Old Style" w:eastAsia="Times New Roman" w:hAnsi="Bookman Old Style" w:cs="Arial"/>
          <w:sz w:val="20"/>
          <w:szCs w:val="20"/>
          <w:lang w:val="pt-BR" w:eastAsia="pt-BR"/>
        </w:rPr>
      </w:pPr>
      <w:r w:rsidRPr="00124FDC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>Por fim, vale destacar a plena observância dos princípios que devem orientar a administração pública, mormente os da eficiência e da economicidade, pois a contratação de referida assessoria permitirá a melhor elaboração e aplicação dos recursos através das licitações das obras a serem contratadas oportunamente.</w:t>
      </w:r>
    </w:p>
    <w:p w:rsidR="00D30F9C" w:rsidRPr="00A57631" w:rsidRDefault="00D30F9C" w:rsidP="00D30F9C">
      <w:pPr>
        <w:tabs>
          <w:tab w:val="left" w:pos="10170"/>
        </w:tabs>
        <w:adjustRightInd w:val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D30F9C" w:rsidRPr="007425F0" w:rsidRDefault="00D30F9C" w:rsidP="00D30F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7425F0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DESCRIÇÃO DA SOLUÇÃO COMO UM TODO CONSIDERADO O CICLO DE VIDA DO OBJETO E ESPECIFICAÇÃO DO PRODUTO. (Art. 6º, inciso XXIII, alínea ‘c’, da Lei nº 14.133/2021). (</w:t>
      </w:r>
      <w:proofErr w:type="gramStart"/>
      <w:r w:rsidRPr="007425F0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art.</w:t>
      </w:r>
      <w:proofErr w:type="gramEnd"/>
      <w:r w:rsidRPr="007425F0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 6º, inciso XXIII, alínea ‘c’, da Lei nº 14.133/2021). </w:t>
      </w:r>
    </w:p>
    <w:p w:rsidR="00D30F9C" w:rsidRPr="007425F0" w:rsidRDefault="00D30F9C" w:rsidP="00D30F9C">
      <w:pPr>
        <w:spacing w:after="0"/>
        <w:jc w:val="both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</w:p>
    <w:p w:rsidR="00627E50" w:rsidRDefault="00D30F9C" w:rsidP="00627E50">
      <w:pPr>
        <w:pStyle w:val="PargrafodaLista"/>
        <w:numPr>
          <w:ilvl w:val="1"/>
          <w:numId w:val="2"/>
        </w:numPr>
        <w:contextualSpacing/>
        <w:jc w:val="both"/>
        <w:rPr>
          <w:rFonts w:ascii="Bookman Old Style" w:eastAsia="MS Mincho" w:hAnsi="Bookman Old Style" w:cs="Tahoma"/>
          <w:sz w:val="20"/>
          <w:szCs w:val="20"/>
          <w:lang w:val="pt-BR"/>
        </w:rPr>
      </w:pPr>
      <w:r>
        <w:rPr>
          <w:rFonts w:ascii="Bookman Old Style" w:eastAsia="MS Mincho" w:hAnsi="Bookman Old Style" w:cs="Tahoma"/>
          <w:sz w:val="20"/>
          <w:szCs w:val="20"/>
        </w:rPr>
        <w:t xml:space="preserve"> </w:t>
      </w:r>
      <w:r w:rsidR="00627E50" w:rsidRPr="00627E50">
        <w:rPr>
          <w:rFonts w:ascii="Bookman Old Style" w:eastAsia="MS Mincho" w:hAnsi="Bookman Old Style" w:cs="Tahoma"/>
          <w:sz w:val="20"/>
          <w:szCs w:val="20"/>
          <w:lang w:val="pt-BR"/>
        </w:rPr>
        <w:t>Objetivo</w:t>
      </w:r>
      <w:r w:rsidR="00627E50">
        <w:rPr>
          <w:rFonts w:ascii="Bookman Old Style" w:eastAsia="MS Mincho" w:hAnsi="Bookman Old Style" w:cs="Tahoma"/>
          <w:sz w:val="20"/>
          <w:szCs w:val="20"/>
          <w:lang w:val="pt-BR"/>
        </w:rPr>
        <w:t xml:space="preserve">: </w:t>
      </w:r>
      <w:r w:rsidR="00627E50" w:rsidRPr="00627E50">
        <w:rPr>
          <w:rFonts w:ascii="Bookman Old Style" w:eastAsia="MS Mincho" w:hAnsi="Bookman Old Style" w:cs="Tahoma"/>
          <w:sz w:val="20"/>
          <w:szCs w:val="20"/>
          <w:lang w:val="pt-BR"/>
        </w:rPr>
        <w:t>O serviço de acompanhamento de obra objetiva verificar a evolução física da obra permanentemente, ao</w:t>
      </w:r>
      <w:r w:rsidR="00627E50">
        <w:rPr>
          <w:rFonts w:ascii="Bookman Old Style" w:eastAsia="MS Mincho" w:hAnsi="Bookman Old Style" w:cs="Tahoma"/>
          <w:sz w:val="20"/>
          <w:szCs w:val="20"/>
          <w:lang w:val="pt-BR"/>
        </w:rPr>
        <w:t xml:space="preserve"> </w:t>
      </w:r>
      <w:r w:rsidR="00627E50" w:rsidRPr="00627E50">
        <w:rPr>
          <w:rFonts w:ascii="Bookman Old Style" w:eastAsia="MS Mincho" w:hAnsi="Bookman Old Style" w:cs="Tahoma"/>
          <w:sz w:val="20"/>
          <w:szCs w:val="20"/>
          <w:lang w:val="pt-BR"/>
        </w:rPr>
        <w:t>longo do seu prazo de execução, conforme cronograma físico-financeiro aceito, constatada por meio de vistoria</w:t>
      </w:r>
      <w:r w:rsidR="00627E50">
        <w:rPr>
          <w:rFonts w:ascii="Bookman Old Style" w:eastAsia="MS Mincho" w:hAnsi="Bookman Old Style" w:cs="Tahoma"/>
          <w:sz w:val="20"/>
          <w:szCs w:val="20"/>
          <w:lang w:val="pt-BR"/>
        </w:rPr>
        <w:t xml:space="preserve"> </w:t>
      </w:r>
      <w:r w:rsidR="00627E50" w:rsidRPr="00627E50">
        <w:rPr>
          <w:rFonts w:ascii="Bookman Old Style" w:eastAsia="MS Mincho" w:hAnsi="Bookman Old Style" w:cs="Tahoma"/>
          <w:sz w:val="20"/>
          <w:szCs w:val="20"/>
          <w:lang w:val="pt-BR"/>
        </w:rPr>
        <w:t>técnica in loco.</w:t>
      </w:r>
    </w:p>
    <w:p w:rsidR="00627E50" w:rsidRPr="00627E50" w:rsidRDefault="00627E50" w:rsidP="00627E50">
      <w:pPr>
        <w:pStyle w:val="PargrafodaLista"/>
        <w:ind w:left="432"/>
        <w:contextualSpacing/>
        <w:jc w:val="both"/>
        <w:rPr>
          <w:rFonts w:ascii="Bookman Old Style" w:eastAsia="MS Mincho" w:hAnsi="Bookman Old Style" w:cs="Tahoma"/>
          <w:sz w:val="20"/>
          <w:szCs w:val="20"/>
          <w:lang w:val="pt-BR"/>
        </w:rPr>
      </w:pPr>
      <w:r w:rsidRPr="00627E50">
        <w:rPr>
          <w:rFonts w:ascii="Bookman Old Style" w:eastAsia="MS Mincho" w:hAnsi="Bookman Old Style" w:cs="Tahoma"/>
          <w:sz w:val="20"/>
          <w:szCs w:val="20"/>
          <w:lang w:val="pt-BR"/>
        </w:rPr>
        <w:t>A periodicidade das vistorias técnicas é previamente definida com o Cliente, podendo ocorrer baseada nas</w:t>
      </w:r>
      <w:r>
        <w:rPr>
          <w:rFonts w:ascii="Bookman Old Style" w:eastAsia="MS Mincho" w:hAnsi="Bookman Old Style" w:cs="Tahoma"/>
          <w:sz w:val="20"/>
          <w:szCs w:val="20"/>
          <w:lang w:val="pt-BR"/>
        </w:rPr>
        <w:t xml:space="preserve"> </w:t>
      </w:r>
      <w:r w:rsidRPr="00627E50">
        <w:rPr>
          <w:rFonts w:ascii="Bookman Old Style" w:eastAsia="MS Mincho" w:hAnsi="Bookman Old Style" w:cs="Tahoma"/>
          <w:sz w:val="20"/>
          <w:szCs w:val="20"/>
          <w:lang w:val="pt-BR"/>
        </w:rPr>
        <w:t>etapas da obra ou em marcos de evolução da obra.</w:t>
      </w:r>
    </w:p>
    <w:p w:rsidR="00627E50" w:rsidRDefault="00627E50" w:rsidP="00627E50">
      <w:pPr>
        <w:pStyle w:val="PargrafodaLista"/>
        <w:ind w:left="432"/>
        <w:contextualSpacing/>
        <w:jc w:val="both"/>
        <w:rPr>
          <w:rFonts w:ascii="Bookman Old Style" w:eastAsia="MS Mincho" w:hAnsi="Bookman Old Style" w:cs="Tahoma"/>
          <w:sz w:val="20"/>
          <w:szCs w:val="20"/>
          <w:lang w:val="pt-BR"/>
        </w:rPr>
      </w:pPr>
      <w:r w:rsidRPr="00627E50">
        <w:rPr>
          <w:rFonts w:ascii="Bookman Old Style" w:eastAsia="MS Mincho" w:hAnsi="Bookman Old Style" w:cs="Tahoma"/>
          <w:sz w:val="20"/>
          <w:szCs w:val="20"/>
          <w:lang w:val="pt-BR"/>
        </w:rPr>
        <w:t>O Acompanhamento de Obra difere da Vistoria Técnica de Engenharia, enquanto o Acompanhamento visa</w:t>
      </w:r>
      <w:r>
        <w:rPr>
          <w:rFonts w:ascii="Bookman Old Style" w:eastAsia="MS Mincho" w:hAnsi="Bookman Old Style" w:cs="Tahoma"/>
          <w:sz w:val="20"/>
          <w:szCs w:val="20"/>
          <w:lang w:val="pt-BR"/>
        </w:rPr>
        <w:t xml:space="preserve"> </w:t>
      </w:r>
      <w:r w:rsidRPr="00627E50">
        <w:rPr>
          <w:rFonts w:ascii="Bookman Old Style" w:eastAsia="MS Mincho" w:hAnsi="Bookman Old Style" w:cs="Tahoma"/>
          <w:sz w:val="20"/>
          <w:szCs w:val="20"/>
          <w:lang w:val="pt-BR"/>
        </w:rPr>
        <w:t>produzir um monitoramento permanente da obra ao longo de todo o seu prazo de execução, a Vistoria Técnica tem</w:t>
      </w:r>
      <w:r>
        <w:rPr>
          <w:rFonts w:ascii="Bookman Old Style" w:eastAsia="MS Mincho" w:hAnsi="Bookman Old Style" w:cs="Tahoma"/>
          <w:sz w:val="20"/>
          <w:szCs w:val="20"/>
          <w:lang w:val="pt-BR"/>
        </w:rPr>
        <w:t xml:space="preserve"> </w:t>
      </w:r>
      <w:r w:rsidRPr="00627E50">
        <w:rPr>
          <w:rFonts w:ascii="Bookman Old Style" w:eastAsia="MS Mincho" w:hAnsi="Bookman Old Style" w:cs="Tahoma"/>
          <w:sz w:val="20"/>
          <w:szCs w:val="20"/>
          <w:lang w:val="pt-BR"/>
        </w:rPr>
        <w:t>por objetivo fornecer um diagnóstico pontual no momento em que é realizada.</w:t>
      </w:r>
      <w:r>
        <w:rPr>
          <w:rFonts w:ascii="Bookman Old Style" w:eastAsia="MS Mincho" w:hAnsi="Bookman Old Style" w:cs="Tahoma"/>
          <w:sz w:val="20"/>
          <w:szCs w:val="20"/>
          <w:lang w:val="pt-BR"/>
        </w:rPr>
        <w:t xml:space="preserve"> </w:t>
      </w:r>
    </w:p>
    <w:p w:rsidR="00D30F9C" w:rsidRDefault="00627E50" w:rsidP="00627E50">
      <w:pPr>
        <w:pStyle w:val="PargrafodaLista"/>
        <w:ind w:left="432"/>
        <w:contextualSpacing/>
        <w:jc w:val="both"/>
        <w:rPr>
          <w:rFonts w:ascii="Bookman Old Style" w:eastAsia="MS Mincho" w:hAnsi="Bookman Old Style" w:cs="Tahoma"/>
          <w:sz w:val="20"/>
          <w:szCs w:val="20"/>
          <w:lang w:val="pt-BR"/>
        </w:rPr>
      </w:pPr>
      <w:r w:rsidRPr="00627E50">
        <w:rPr>
          <w:rFonts w:ascii="Bookman Old Style" w:eastAsia="MS Mincho" w:hAnsi="Bookman Old Style" w:cs="Tahoma"/>
          <w:sz w:val="20"/>
          <w:szCs w:val="20"/>
          <w:lang w:val="pt-BR"/>
        </w:rPr>
        <w:t>A prestação do serviço de Acompanhamento de Obra é realizada pelos arquitetos/engenheiros das</w:t>
      </w:r>
      <w:r>
        <w:rPr>
          <w:rFonts w:ascii="Bookman Old Style" w:eastAsia="MS Mincho" w:hAnsi="Bookman Old Style" w:cs="Tahoma"/>
          <w:sz w:val="20"/>
          <w:szCs w:val="20"/>
          <w:lang w:val="pt-BR"/>
        </w:rPr>
        <w:t xml:space="preserve"> </w:t>
      </w:r>
      <w:r w:rsidRPr="00627E50">
        <w:rPr>
          <w:rFonts w:ascii="Bookman Old Style" w:eastAsia="MS Mincho" w:hAnsi="Bookman Old Style" w:cs="Tahoma"/>
          <w:sz w:val="20"/>
          <w:szCs w:val="20"/>
          <w:lang w:val="pt-BR"/>
        </w:rPr>
        <w:t>GIGOV, podendo ser utilizadas empresas credenciadas.</w:t>
      </w:r>
    </w:p>
    <w:p w:rsidR="00627E50" w:rsidRPr="00627E50" w:rsidRDefault="00627E50" w:rsidP="00627E50">
      <w:pPr>
        <w:pStyle w:val="PargrafodaLista"/>
        <w:numPr>
          <w:ilvl w:val="1"/>
          <w:numId w:val="2"/>
        </w:numPr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>
        <w:rPr>
          <w:rFonts w:ascii="Bookman Old Style" w:eastAsia="MS Mincho" w:hAnsi="Bookman Old Style" w:cs="Tahoma"/>
          <w:sz w:val="20"/>
          <w:szCs w:val="20"/>
          <w:lang w:val="pt-BR"/>
        </w:rPr>
        <w:t xml:space="preserve">Escopo do Serviço: </w:t>
      </w:r>
      <w:r w:rsidRPr="00627E50">
        <w:rPr>
          <w:rFonts w:ascii="Bookman Old Style" w:eastAsia="MS Mincho" w:hAnsi="Bookman Old Style" w:cs="Tahoma"/>
          <w:sz w:val="20"/>
          <w:szCs w:val="20"/>
        </w:rPr>
        <w:t>O arquiteto/engenheiro da GIGOV/REGOV responsável pelo Acompanhamento da Obra verifica em análise</w:t>
      </w:r>
      <w:r>
        <w:rPr>
          <w:rFonts w:ascii="Bookman Old Style" w:eastAsia="MS Mincho" w:hAnsi="Bookman Old Style" w:cs="Tahoma"/>
          <w:sz w:val="20"/>
          <w:szCs w:val="20"/>
        </w:rPr>
        <w:t xml:space="preserve"> </w:t>
      </w:r>
      <w:r w:rsidRPr="00627E50">
        <w:rPr>
          <w:rFonts w:ascii="Bookman Old Style" w:eastAsia="MS Mincho" w:hAnsi="Bookman Old Style" w:cs="Tahoma"/>
          <w:sz w:val="20"/>
          <w:szCs w:val="20"/>
        </w:rPr>
        <w:t>preliminar:</w:t>
      </w:r>
    </w:p>
    <w:p w:rsidR="00627E50" w:rsidRPr="00627E50" w:rsidRDefault="00627E50" w:rsidP="00627E50">
      <w:pPr>
        <w:pStyle w:val="PargrafodaLista"/>
        <w:ind w:left="432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627E50">
        <w:rPr>
          <w:rFonts w:ascii="Bookman Old Style" w:eastAsia="MS Mincho" w:hAnsi="Bookman Old Style" w:cs="Tahoma"/>
          <w:sz w:val="20"/>
          <w:szCs w:val="20"/>
        </w:rPr>
        <w:t>a) A compatibilidade entre os documentos de medição encaminhados e a documentação técnica existente;</w:t>
      </w:r>
    </w:p>
    <w:p w:rsidR="00627E50" w:rsidRPr="00627E50" w:rsidRDefault="00627E50" w:rsidP="00627E50">
      <w:pPr>
        <w:pStyle w:val="PargrafodaLista"/>
        <w:ind w:left="432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627E50">
        <w:rPr>
          <w:rFonts w:ascii="Bookman Old Style" w:eastAsia="MS Mincho" w:hAnsi="Bookman Old Style" w:cs="Tahoma"/>
          <w:sz w:val="20"/>
          <w:szCs w:val="20"/>
        </w:rPr>
        <w:t>b) O licenciamento ambiental, se for o caso, observando a existência de condicionantes que interfiram na execução</w:t>
      </w:r>
      <w:r>
        <w:rPr>
          <w:rFonts w:ascii="Bookman Old Style" w:eastAsia="MS Mincho" w:hAnsi="Bookman Old Style" w:cs="Tahoma"/>
          <w:sz w:val="20"/>
          <w:szCs w:val="20"/>
        </w:rPr>
        <w:t xml:space="preserve"> </w:t>
      </w:r>
      <w:r w:rsidRPr="00627E50">
        <w:rPr>
          <w:rFonts w:ascii="Bookman Old Style" w:eastAsia="MS Mincho" w:hAnsi="Bookman Old Style" w:cs="Tahoma"/>
          <w:sz w:val="20"/>
          <w:szCs w:val="20"/>
        </w:rPr>
        <w:t>da obra;</w:t>
      </w:r>
    </w:p>
    <w:p w:rsidR="00627E50" w:rsidRPr="00627E50" w:rsidRDefault="00627E50" w:rsidP="00627E50">
      <w:pPr>
        <w:pStyle w:val="PargrafodaLista"/>
        <w:ind w:left="432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627E50">
        <w:rPr>
          <w:rFonts w:ascii="Bookman Old Style" w:eastAsia="MS Mincho" w:hAnsi="Bookman Old Style" w:cs="Tahoma"/>
          <w:sz w:val="20"/>
          <w:szCs w:val="20"/>
        </w:rPr>
        <w:t>c) A existência de ART/RRT de execução e de fiscalização de obra, quando for o caso.</w:t>
      </w:r>
    </w:p>
    <w:p w:rsidR="00627E50" w:rsidRDefault="00627E50" w:rsidP="00627E50">
      <w:pPr>
        <w:pStyle w:val="PargrafodaLista"/>
        <w:ind w:left="432"/>
        <w:contextualSpacing/>
        <w:jc w:val="both"/>
        <w:rPr>
          <w:rFonts w:ascii="Bookman Old Style" w:eastAsia="MS Mincho" w:hAnsi="Bookman Old Style" w:cs="Tahoma"/>
          <w:sz w:val="20"/>
          <w:szCs w:val="20"/>
          <w:lang w:val="pt-BR"/>
        </w:rPr>
      </w:pPr>
      <w:r w:rsidRPr="00627E50">
        <w:rPr>
          <w:rFonts w:ascii="Bookman Old Style" w:eastAsia="MS Mincho" w:hAnsi="Bookman Old Style" w:cs="Tahoma"/>
          <w:sz w:val="20"/>
          <w:szCs w:val="20"/>
        </w:rPr>
        <w:t>O arquiteto/engenheiro da GIGOV/REGOV não entra no mérito técnico do projeto, de suas premissas, de</w:t>
      </w:r>
      <w:r>
        <w:rPr>
          <w:rFonts w:ascii="Bookman Old Style" w:eastAsia="MS Mincho" w:hAnsi="Bookman Old Style" w:cs="Tahoma"/>
          <w:sz w:val="20"/>
          <w:szCs w:val="20"/>
        </w:rPr>
        <w:t xml:space="preserve"> </w:t>
      </w:r>
      <w:r w:rsidRPr="00627E50">
        <w:rPr>
          <w:rFonts w:ascii="Bookman Old Style" w:eastAsia="MS Mincho" w:hAnsi="Bookman Old Style" w:cs="Tahoma"/>
          <w:sz w:val="20"/>
          <w:szCs w:val="20"/>
        </w:rPr>
        <w:t>seus dados de entrada, de seu dimensionamento ou de seu detalhamento, pois essas atribuições são exclusivas</w:t>
      </w:r>
      <w:r>
        <w:rPr>
          <w:rFonts w:ascii="Bookman Old Style" w:eastAsia="MS Mincho" w:hAnsi="Bookman Old Style" w:cs="Tahoma"/>
          <w:sz w:val="20"/>
          <w:szCs w:val="20"/>
        </w:rPr>
        <w:t xml:space="preserve"> </w:t>
      </w:r>
      <w:r w:rsidRPr="00627E50">
        <w:rPr>
          <w:rFonts w:ascii="Bookman Old Style" w:eastAsia="MS Mincho" w:hAnsi="Bookman Old Style" w:cs="Tahoma"/>
          <w:sz w:val="20"/>
          <w:szCs w:val="20"/>
        </w:rPr>
        <w:t>dos profissionais contratados pelo Cliente para a elaboração dos projetos, execução da obra e, se for o caso, da</w:t>
      </w:r>
      <w:r>
        <w:rPr>
          <w:rFonts w:ascii="Bookman Old Style" w:eastAsia="MS Mincho" w:hAnsi="Bookman Old Style" w:cs="Tahoma"/>
          <w:sz w:val="20"/>
          <w:szCs w:val="20"/>
        </w:rPr>
        <w:t xml:space="preserve"> </w:t>
      </w:r>
      <w:r w:rsidRPr="00627E50">
        <w:rPr>
          <w:rFonts w:ascii="Bookman Old Style" w:eastAsia="MS Mincho" w:hAnsi="Bookman Old Style" w:cs="Tahoma"/>
          <w:sz w:val="20"/>
          <w:szCs w:val="20"/>
          <w:lang w:val="pt-BR"/>
        </w:rPr>
        <w:t>fiscalização do contrato, conforme ART/RRT específicas.</w:t>
      </w:r>
    </w:p>
    <w:p w:rsidR="00627E50" w:rsidRPr="00627E50" w:rsidRDefault="00627E50" w:rsidP="00627E50">
      <w:pPr>
        <w:pStyle w:val="PargrafodaLista"/>
        <w:numPr>
          <w:ilvl w:val="1"/>
          <w:numId w:val="2"/>
        </w:numPr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>
        <w:rPr>
          <w:rFonts w:ascii="Bookman Old Style" w:eastAsia="MS Mincho" w:hAnsi="Bookman Old Style" w:cs="Tahoma"/>
          <w:sz w:val="20"/>
          <w:szCs w:val="20"/>
          <w:lang w:val="pt-BR"/>
        </w:rPr>
        <w:t xml:space="preserve">Vistoria Técnica de Acompanhamento: </w:t>
      </w:r>
      <w:r w:rsidRPr="00627E50">
        <w:rPr>
          <w:rFonts w:ascii="Bookman Old Style" w:eastAsia="MS Mincho" w:hAnsi="Bookman Old Style" w:cs="Tahoma"/>
          <w:sz w:val="20"/>
          <w:szCs w:val="20"/>
        </w:rPr>
        <w:t>A vistoria técnica é agendada pelo arquiteto/engenheiro da GIGOV/REGOV juntamente aos responsáveis</w:t>
      </w:r>
      <w:r>
        <w:rPr>
          <w:rFonts w:ascii="Bookman Old Style" w:eastAsia="MS Mincho" w:hAnsi="Bookman Old Style" w:cs="Tahoma"/>
          <w:sz w:val="20"/>
          <w:szCs w:val="20"/>
        </w:rPr>
        <w:t xml:space="preserve"> </w:t>
      </w:r>
      <w:r w:rsidRPr="00627E50">
        <w:rPr>
          <w:rFonts w:ascii="Bookman Old Style" w:eastAsia="MS Mincho" w:hAnsi="Bookman Old Style" w:cs="Tahoma"/>
          <w:sz w:val="20"/>
          <w:szCs w:val="20"/>
        </w:rPr>
        <w:t>técnicos pela execução e/ou fiscalização da obra, porém a ausência destes não é impeditiva para a sua realização.</w:t>
      </w:r>
    </w:p>
    <w:p w:rsidR="00627E50" w:rsidRPr="00627E50" w:rsidRDefault="00627E50" w:rsidP="00627E50">
      <w:pPr>
        <w:pStyle w:val="PargrafodaLista"/>
        <w:ind w:left="432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627E50">
        <w:rPr>
          <w:rFonts w:ascii="Bookman Old Style" w:eastAsia="MS Mincho" w:hAnsi="Bookman Old Style" w:cs="Tahoma"/>
          <w:sz w:val="20"/>
          <w:szCs w:val="20"/>
        </w:rPr>
        <w:t>Na oportunidade deve ser constatada a evolução das obras e serviços executados e informado o estágio</w:t>
      </w:r>
      <w:r>
        <w:rPr>
          <w:rFonts w:ascii="Bookman Old Style" w:eastAsia="MS Mincho" w:hAnsi="Bookman Old Style" w:cs="Tahoma"/>
          <w:sz w:val="20"/>
          <w:szCs w:val="20"/>
        </w:rPr>
        <w:t xml:space="preserve"> </w:t>
      </w:r>
      <w:r w:rsidRPr="00627E50">
        <w:rPr>
          <w:rFonts w:ascii="Bookman Old Style" w:eastAsia="MS Mincho" w:hAnsi="Bookman Old Style" w:cs="Tahoma"/>
          <w:sz w:val="20"/>
          <w:szCs w:val="20"/>
        </w:rPr>
        <w:t>atual em que se encontram.</w:t>
      </w:r>
    </w:p>
    <w:p w:rsidR="00627E50" w:rsidRDefault="00627E50" w:rsidP="00627E50">
      <w:pPr>
        <w:pStyle w:val="PargrafodaLista"/>
        <w:ind w:left="432"/>
        <w:contextualSpacing/>
        <w:jc w:val="both"/>
        <w:rPr>
          <w:rFonts w:ascii="Bookman Old Style" w:eastAsia="MS Mincho" w:hAnsi="Bookman Old Style" w:cs="Tahoma"/>
          <w:sz w:val="20"/>
          <w:szCs w:val="20"/>
          <w:lang w:val="pt-BR"/>
        </w:rPr>
      </w:pPr>
      <w:r w:rsidRPr="00627E50">
        <w:rPr>
          <w:rFonts w:ascii="Bookman Old Style" w:eastAsia="MS Mincho" w:hAnsi="Bookman Old Style" w:cs="Tahoma"/>
          <w:sz w:val="20"/>
          <w:szCs w:val="20"/>
          <w:lang w:val="pt-BR"/>
        </w:rPr>
        <w:t>Na vistoria técnica, o arquiteto/engenheiro da GIGOV/REGOV verifica:</w:t>
      </w:r>
    </w:p>
    <w:p w:rsidR="00627E50" w:rsidRPr="00627E50" w:rsidRDefault="00627E50" w:rsidP="00627E50">
      <w:pPr>
        <w:pStyle w:val="PargrafodaLista"/>
        <w:ind w:left="432"/>
        <w:contextualSpacing/>
        <w:jc w:val="both"/>
        <w:rPr>
          <w:rFonts w:ascii="Bookman Old Style" w:eastAsia="MS Mincho" w:hAnsi="Bookman Old Style" w:cs="Tahoma"/>
          <w:sz w:val="20"/>
          <w:szCs w:val="20"/>
          <w:lang w:val="pt-BR"/>
        </w:rPr>
      </w:pPr>
      <w:r w:rsidRPr="00627E50">
        <w:rPr>
          <w:rFonts w:ascii="Bookman Old Style" w:eastAsia="MS Mincho" w:hAnsi="Bookman Old Style" w:cs="Tahoma"/>
          <w:sz w:val="20"/>
          <w:szCs w:val="20"/>
          <w:lang w:val="pt-BR"/>
        </w:rPr>
        <w:t>c) A execução da obra de acordo com os projetos, memoriais, especificações e crono</w:t>
      </w:r>
      <w:r>
        <w:rPr>
          <w:rFonts w:ascii="Bookman Old Style" w:eastAsia="MS Mincho" w:hAnsi="Bookman Old Style" w:cs="Tahoma"/>
          <w:sz w:val="20"/>
          <w:szCs w:val="20"/>
          <w:lang w:val="pt-BR"/>
        </w:rPr>
        <w:t xml:space="preserve">grama físico-financeiro aceito, </w:t>
      </w:r>
      <w:r w:rsidRPr="00627E50">
        <w:rPr>
          <w:rFonts w:ascii="Bookman Old Style" w:eastAsia="MS Mincho" w:hAnsi="Bookman Old Style" w:cs="Tahoma"/>
          <w:sz w:val="20"/>
          <w:szCs w:val="20"/>
          <w:lang w:val="pt-BR"/>
        </w:rPr>
        <w:t>com base em verificação visual;</w:t>
      </w:r>
    </w:p>
    <w:p w:rsidR="00627E50" w:rsidRPr="00627E50" w:rsidRDefault="00627E50" w:rsidP="00627E50">
      <w:pPr>
        <w:pStyle w:val="PargrafodaLista"/>
        <w:ind w:left="432"/>
        <w:contextualSpacing/>
        <w:jc w:val="both"/>
        <w:rPr>
          <w:rFonts w:ascii="Bookman Old Style" w:eastAsia="MS Mincho" w:hAnsi="Bookman Old Style" w:cs="Tahoma"/>
          <w:sz w:val="20"/>
          <w:szCs w:val="20"/>
          <w:lang w:val="pt-BR"/>
        </w:rPr>
      </w:pPr>
      <w:r w:rsidRPr="00627E50">
        <w:rPr>
          <w:rFonts w:ascii="Bookman Old Style" w:eastAsia="MS Mincho" w:hAnsi="Bookman Old Style" w:cs="Tahoma"/>
          <w:sz w:val="20"/>
          <w:szCs w:val="20"/>
          <w:lang w:val="pt-BR"/>
        </w:rPr>
        <w:t>d) O cumprimento dos prazos;</w:t>
      </w:r>
    </w:p>
    <w:p w:rsidR="00627E50" w:rsidRPr="00627E50" w:rsidRDefault="00627E50" w:rsidP="00627E50">
      <w:pPr>
        <w:pStyle w:val="PargrafodaLista"/>
        <w:ind w:left="432"/>
        <w:contextualSpacing/>
        <w:jc w:val="both"/>
        <w:rPr>
          <w:rFonts w:ascii="Bookman Old Style" w:eastAsia="MS Mincho" w:hAnsi="Bookman Old Style" w:cs="Tahoma"/>
          <w:sz w:val="20"/>
          <w:szCs w:val="20"/>
          <w:lang w:val="pt-BR"/>
        </w:rPr>
      </w:pPr>
      <w:r w:rsidRPr="00627E50">
        <w:rPr>
          <w:rFonts w:ascii="Bookman Old Style" w:eastAsia="MS Mincho" w:hAnsi="Bookman Old Style" w:cs="Tahoma"/>
          <w:sz w:val="20"/>
          <w:szCs w:val="20"/>
          <w:lang w:val="pt-BR"/>
        </w:rPr>
        <w:t>e) A existência de condicionantes que possam vir a prejudicar o andamento das obras/serviços;</w:t>
      </w:r>
    </w:p>
    <w:p w:rsidR="00627E50" w:rsidRPr="00627E50" w:rsidRDefault="00627E50" w:rsidP="00627E50">
      <w:pPr>
        <w:pStyle w:val="PargrafodaLista"/>
        <w:ind w:left="432"/>
        <w:contextualSpacing/>
        <w:jc w:val="both"/>
        <w:rPr>
          <w:rFonts w:ascii="Bookman Old Style" w:eastAsia="MS Mincho" w:hAnsi="Bookman Old Style" w:cs="Tahoma"/>
          <w:sz w:val="20"/>
          <w:szCs w:val="20"/>
          <w:lang w:val="pt-BR"/>
        </w:rPr>
      </w:pPr>
      <w:r w:rsidRPr="00627E50">
        <w:rPr>
          <w:rFonts w:ascii="Bookman Old Style" w:eastAsia="MS Mincho" w:hAnsi="Bookman Old Style" w:cs="Tahoma"/>
          <w:sz w:val="20"/>
          <w:szCs w:val="20"/>
          <w:lang w:val="pt-BR"/>
        </w:rPr>
        <w:t>f) O atendimento de pendências apontadas em Relatórios de Acompanhamento anteriores, se for o caso;</w:t>
      </w:r>
    </w:p>
    <w:p w:rsidR="00627E50" w:rsidRPr="00627E50" w:rsidRDefault="00627E50" w:rsidP="00627E50">
      <w:pPr>
        <w:pStyle w:val="PargrafodaLista"/>
        <w:ind w:left="432"/>
        <w:contextualSpacing/>
        <w:jc w:val="both"/>
        <w:rPr>
          <w:rFonts w:ascii="Bookman Old Style" w:eastAsia="MS Mincho" w:hAnsi="Bookman Old Style" w:cs="Tahoma"/>
          <w:sz w:val="20"/>
          <w:szCs w:val="20"/>
          <w:lang w:val="pt-BR"/>
        </w:rPr>
      </w:pPr>
      <w:r w:rsidRPr="00627E50">
        <w:rPr>
          <w:rFonts w:ascii="Bookman Old Style" w:eastAsia="MS Mincho" w:hAnsi="Bookman Old Style" w:cs="Tahoma"/>
          <w:sz w:val="20"/>
          <w:szCs w:val="20"/>
          <w:lang w:val="pt-BR"/>
        </w:rPr>
        <w:t>g) A compatibilidade entre as informações prestadas nos documentos de medição</w:t>
      </w:r>
      <w:r>
        <w:rPr>
          <w:rFonts w:ascii="Bookman Old Style" w:eastAsia="MS Mincho" w:hAnsi="Bookman Old Style" w:cs="Tahoma"/>
          <w:sz w:val="20"/>
          <w:szCs w:val="20"/>
          <w:lang w:val="pt-BR"/>
        </w:rPr>
        <w:t xml:space="preserve"> e as obras/serviços executados </w:t>
      </w:r>
      <w:r w:rsidRPr="00627E50">
        <w:rPr>
          <w:rFonts w:ascii="Bookman Old Style" w:eastAsia="MS Mincho" w:hAnsi="Bookman Old Style" w:cs="Tahoma"/>
          <w:sz w:val="20"/>
          <w:szCs w:val="20"/>
          <w:lang w:val="pt-BR"/>
        </w:rPr>
        <w:t>e/ou os materiais/equipamentos adquiridos;</w:t>
      </w:r>
    </w:p>
    <w:p w:rsidR="00627E50" w:rsidRDefault="00627E50" w:rsidP="00627E50">
      <w:pPr>
        <w:pStyle w:val="PargrafodaLista"/>
        <w:ind w:left="432"/>
        <w:contextualSpacing/>
        <w:jc w:val="both"/>
        <w:rPr>
          <w:rFonts w:ascii="Bookman Old Style" w:eastAsia="MS Mincho" w:hAnsi="Bookman Old Style" w:cs="Tahoma"/>
          <w:sz w:val="20"/>
          <w:szCs w:val="20"/>
          <w:lang w:val="pt-BR"/>
        </w:rPr>
      </w:pPr>
      <w:r w:rsidRPr="00627E50">
        <w:rPr>
          <w:rFonts w:ascii="Bookman Old Style" w:eastAsia="MS Mincho" w:hAnsi="Bookman Old Style" w:cs="Tahoma"/>
          <w:sz w:val="20"/>
          <w:szCs w:val="20"/>
          <w:lang w:val="pt-BR"/>
        </w:rPr>
        <w:t xml:space="preserve">h) Se existem indícios visuais de falhas executivas que possam comprometer a habitabilidade, a </w:t>
      </w:r>
      <w:r>
        <w:rPr>
          <w:rFonts w:ascii="Bookman Old Style" w:eastAsia="MS Mincho" w:hAnsi="Bookman Old Style" w:cs="Tahoma"/>
          <w:sz w:val="20"/>
          <w:szCs w:val="20"/>
          <w:lang w:val="pt-BR"/>
        </w:rPr>
        <w:lastRenderedPageBreak/>
        <w:t xml:space="preserve">salubridade e a </w:t>
      </w:r>
      <w:r w:rsidRPr="00627E50">
        <w:rPr>
          <w:rFonts w:ascii="Bookman Old Style" w:eastAsia="MS Mincho" w:hAnsi="Bookman Old Style" w:cs="Tahoma"/>
          <w:sz w:val="20"/>
          <w:szCs w:val="20"/>
          <w:lang w:val="pt-BR"/>
        </w:rPr>
        <w:t>funcionalidade da obra, durante ou após a sua execução.</w:t>
      </w:r>
    </w:p>
    <w:p w:rsidR="00A6063B" w:rsidRPr="00A6063B" w:rsidRDefault="00A6063B" w:rsidP="00A6063B">
      <w:pPr>
        <w:pStyle w:val="PargrafodaLista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>
        <w:rPr>
          <w:rFonts w:ascii="Bookman Old Style" w:eastAsia="MS Mincho" w:hAnsi="Bookman Old Style" w:cs="Tahoma"/>
          <w:b/>
          <w:sz w:val="20"/>
          <w:szCs w:val="20"/>
          <w:lang w:val="pt-BR"/>
        </w:rPr>
        <w:t xml:space="preserve">3.4. </w:t>
      </w:r>
      <w:r w:rsidRPr="00A6063B">
        <w:rPr>
          <w:rFonts w:ascii="Bookman Old Style" w:eastAsia="MS Mincho" w:hAnsi="Bookman Old Style" w:cs="Tahoma"/>
          <w:sz w:val="20"/>
          <w:szCs w:val="20"/>
          <w:lang w:val="pt-BR"/>
        </w:rPr>
        <w:t>Critérios para Execução do Acompanhamento</w:t>
      </w:r>
      <w:r>
        <w:rPr>
          <w:rFonts w:ascii="Bookman Old Style" w:eastAsia="MS Mincho" w:hAnsi="Bookman Old Style" w:cs="Tahoma"/>
          <w:sz w:val="20"/>
          <w:szCs w:val="20"/>
          <w:lang w:val="pt-BR"/>
        </w:rPr>
        <w:t xml:space="preserve">: </w:t>
      </w:r>
      <w:r w:rsidRPr="00A6063B">
        <w:rPr>
          <w:rFonts w:ascii="Bookman Old Style" w:eastAsia="MS Mincho" w:hAnsi="Bookman Old Style" w:cs="Tahoma"/>
          <w:sz w:val="20"/>
          <w:szCs w:val="20"/>
        </w:rPr>
        <w:t>Na confrontação dos serviços executados com os indicados nos documen</w:t>
      </w:r>
      <w:r>
        <w:rPr>
          <w:rFonts w:ascii="Bookman Old Style" w:eastAsia="MS Mincho" w:hAnsi="Bookman Old Style" w:cs="Tahoma"/>
          <w:sz w:val="20"/>
          <w:szCs w:val="20"/>
        </w:rPr>
        <w:t xml:space="preserve">tos da medição são apontados no </w:t>
      </w:r>
      <w:r w:rsidRPr="00A6063B">
        <w:rPr>
          <w:rFonts w:ascii="Bookman Old Style" w:eastAsia="MS Mincho" w:hAnsi="Bookman Old Style" w:cs="Tahoma"/>
          <w:sz w:val="20"/>
          <w:szCs w:val="20"/>
        </w:rPr>
        <w:t>Relatório de Acompanhamento os serviços:</w:t>
      </w:r>
    </w:p>
    <w:p w:rsidR="00A6063B" w:rsidRPr="00A6063B" w:rsidRDefault="00A6063B" w:rsidP="00A6063B">
      <w:pPr>
        <w:pStyle w:val="PargrafodaLista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A6063B">
        <w:rPr>
          <w:rFonts w:ascii="Bookman Old Style" w:eastAsia="MS Mincho" w:hAnsi="Bookman Old Style" w:cs="Tahoma"/>
          <w:sz w:val="20"/>
          <w:szCs w:val="20"/>
        </w:rPr>
        <w:t>a) Executados em desacordo com os projetos;</w:t>
      </w:r>
    </w:p>
    <w:p w:rsidR="00A6063B" w:rsidRPr="00A6063B" w:rsidRDefault="00A6063B" w:rsidP="00A6063B">
      <w:pPr>
        <w:pStyle w:val="PargrafodaLista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A6063B">
        <w:rPr>
          <w:rFonts w:ascii="Bookman Old Style" w:eastAsia="MS Mincho" w:hAnsi="Bookman Old Style" w:cs="Tahoma"/>
          <w:sz w:val="20"/>
          <w:szCs w:val="20"/>
        </w:rPr>
        <w:t>b) Com quantitativos executados a menor do que o atestado no Boletim de Medição pelo arquiteto/engenheiro fisc</w:t>
      </w:r>
      <w:r>
        <w:rPr>
          <w:rFonts w:ascii="Bookman Old Style" w:eastAsia="MS Mincho" w:hAnsi="Bookman Old Style" w:cs="Tahoma"/>
          <w:sz w:val="20"/>
          <w:szCs w:val="20"/>
        </w:rPr>
        <w:t xml:space="preserve">al </w:t>
      </w:r>
      <w:r w:rsidRPr="00A6063B">
        <w:rPr>
          <w:rFonts w:ascii="Bookman Old Style" w:eastAsia="MS Mincho" w:hAnsi="Bookman Old Style" w:cs="Tahoma"/>
          <w:sz w:val="20"/>
          <w:szCs w:val="20"/>
        </w:rPr>
        <w:t>da obra;</w:t>
      </w:r>
    </w:p>
    <w:p w:rsidR="00A6063B" w:rsidRPr="00A6063B" w:rsidRDefault="00A6063B" w:rsidP="00A6063B">
      <w:pPr>
        <w:pStyle w:val="PargrafodaLista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A6063B">
        <w:rPr>
          <w:rFonts w:ascii="Bookman Old Style" w:eastAsia="MS Mincho" w:hAnsi="Bookman Old Style" w:cs="Tahoma"/>
          <w:sz w:val="20"/>
          <w:szCs w:val="20"/>
        </w:rPr>
        <w:t>c) Que contenham pendências ou exigências contidas no Relatório de Acompanha</w:t>
      </w:r>
      <w:r>
        <w:rPr>
          <w:rFonts w:ascii="Bookman Old Style" w:eastAsia="MS Mincho" w:hAnsi="Bookman Old Style" w:cs="Tahoma"/>
          <w:sz w:val="20"/>
          <w:szCs w:val="20"/>
        </w:rPr>
        <w:t xml:space="preserve">mento elaborado anterior, ainda </w:t>
      </w:r>
      <w:r w:rsidRPr="00A6063B">
        <w:rPr>
          <w:rFonts w:ascii="Bookman Old Style" w:eastAsia="MS Mincho" w:hAnsi="Bookman Old Style" w:cs="Tahoma"/>
          <w:sz w:val="20"/>
          <w:szCs w:val="20"/>
        </w:rPr>
        <w:t>em solução;</w:t>
      </w:r>
    </w:p>
    <w:p w:rsidR="00A6063B" w:rsidRDefault="00A6063B" w:rsidP="00A6063B">
      <w:pPr>
        <w:pStyle w:val="PargrafodaLista"/>
        <w:contextualSpacing/>
        <w:jc w:val="both"/>
        <w:rPr>
          <w:rFonts w:ascii="Bookman Old Style" w:eastAsia="MS Mincho" w:hAnsi="Bookman Old Style" w:cs="Tahoma"/>
          <w:sz w:val="20"/>
          <w:szCs w:val="20"/>
          <w:lang w:val="pt-BR"/>
        </w:rPr>
      </w:pPr>
      <w:r w:rsidRPr="00A6063B">
        <w:rPr>
          <w:rFonts w:ascii="Bookman Old Style" w:eastAsia="MS Mincho" w:hAnsi="Bookman Old Style" w:cs="Tahoma"/>
          <w:sz w:val="20"/>
          <w:szCs w:val="20"/>
        </w:rPr>
        <w:t>d) Que contenham falhas executivas visíveis, bem como o grau de compr</w:t>
      </w:r>
      <w:r>
        <w:rPr>
          <w:rFonts w:ascii="Bookman Old Style" w:eastAsia="MS Mincho" w:hAnsi="Bookman Old Style" w:cs="Tahoma"/>
          <w:sz w:val="20"/>
          <w:szCs w:val="20"/>
        </w:rPr>
        <w:t xml:space="preserve">ometimento dessas falhas para o </w:t>
      </w:r>
      <w:r w:rsidRPr="00A6063B">
        <w:rPr>
          <w:rFonts w:ascii="Bookman Old Style" w:eastAsia="MS Mincho" w:hAnsi="Bookman Old Style" w:cs="Tahoma"/>
          <w:sz w:val="20"/>
          <w:szCs w:val="20"/>
          <w:lang w:val="pt-BR"/>
        </w:rPr>
        <w:t>andamento da obra.</w:t>
      </w:r>
    </w:p>
    <w:p w:rsidR="00A6063B" w:rsidRDefault="00A6063B" w:rsidP="00A6063B">
      <w:pPr>
        <w:pStyle w:val="PargrafodaLista"/>
        <w:contextualSpacing/>
        <w:jc w:val="both"/>
        <w:rPr>
          <w:rFonts w:ascii="Bookman Old Style" w:eastAsia="MS Mincho" w:hAnsi="Bookman Old Style" w:cs="Tahoma"/>
          <w:sz w:val="20"/>
          <w:szCs w:val="20"/>
          <w:lang w:val="pt-BR"/>
        </w:rPr>
      </w:pPr>
      <w:r w:rsidRPr="00A6063B">
        <w:rPr>
          <w:rFonts w:ascii="Bookman Old Style" w:eastAsia="MS Mincho" w:hAnsi="Bookman Old Style" w:cs="Tahoma"/>
          <w:sz w:val="20"/>
          <w:szCs w:val="20"/>
        </w:rPr>
        <w:t>O acompanhamento da obra pode ser realizado através de aferição de serv</w:t>
      </w:r>
      <w:r>
        <w:rPr>
          <w:rFonts w:ascii="Bookman Old Style" w:eastAsia="MS Mincho" w:hAnsi="Bookman Old Style" w:cs="Tahoma"/>
          <w:sz w:val="20"/>
          <w:szCs w:val="20"/>
        </w:rPr>
        <w:t xml:space="preserve">iços constantes dos Boletins de </w:t>
      </w:r>
      <w:r w:rsidRPr="00A6063B">
        <w:rPr>
          <w:rFonts w:ascii="Bookman Old Style" w:eastAsia="MS Mincho" w:hAnsi="Bookman Old Style" w:cs="Tahoma"/>
          <w:sz w:val="20"/>
          <w:szCs w:val="20"/>
        </w:rPr>
        <w:t>Medição ou por meio de marcos/eventos de pagamentos previstos no cronogra</w:t>
      </w:r>
      <w:r>
        <w:rPr>
          <w:rFonts w:ascii="Bookman Old Style" w:eastAsia="MS Mincho" w:hAnsi="Bookman Old Style" w:cs="Tahoma"/>
          <w:sz w:val="20"/>
          <w:szCs w:val="20"/>
        </w:rPr>
        <w:t xml:space="preserve">ma de execução (eventograma) ou </w:t>
      </w:r>
      <w:r w:rsidRPr="00A6063B">
        <w:rPr>
          <w:rFonts w:ascii="Bookman Old Style" w:eastAsia="MS Mincho" w:hAnsi="Bookman Old Style" w:cs="Tahoma"/>
          <w:sz w:val="20"/>
          <w:szCs w:val="20"/>
          <w:lang w:val="pt-BR"/>
        </w:rPr>
        <w:t>mediante documentação a ser disponibilizada pelo Cliente, conforme acordado previamente.</w:t>
      </w:r>
    </w:p>
    <w:p w:rsidR="00A6063B" w:rsidRPr="00A6063B" w:rsidRDefault="00A6063B" w:rsidP="00A6063B">
      <w:pPr>
        <w:pStyle w:val="PargrafodaLista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A6063B">
        <w:rPr>
          <w:rFonts w:ascii="Bookman Old Style" w:eastAsia="MS Mincho" w:hAnsi="Bookman Old Style" w:cs="Tahoma"/>
          <w:sz w:val="20"/>
          <w:szCs w:val="20"/>
          <w:lang w:val="pt-BR"/>
        </w:rPr>
        <w:t>Essas atividades podem ser suprimidas ou acrescidas, conforme necessidade do Cliente.</w:t>
      </w:r>
    </w:p>
    <w:p w:rsidR="00A6063B" w:rsidRPr="00A6063B" w:rsidRDefault="00A6063B" w:rsidP="00A6063B">
      <w:pPr>
        <w:pStyle w:val="PargrafodaLista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A6063B">
        <w:rPr>
          <w:rFonts w:ascii="Bookman Old Style" w:eastAsia="MS Mincho" w:hAnsi="Bookman Old Style" w:cs="Tahoma"/>
          <w:b/>
          <w:sz w:val="20"/>
          <w:szCs w:val="20"/>
          <w:lang w:val="pt-BR"/>
        </w:rPr>
        <w:t xml:space="preserve">3.5. </w:t>
      </w:r>
      <w:r w:rsidRPr="00A6063B">
        <w:rPr>
          <w:rFonts w:ascii="Bookman Old Style" w:eastAsia="MS Mincho" w:hAnsi="Bookman Old Style" w:cs="Tahoma"/>
          <w:sz w:val="20"/>
          <w:szCs w:val="20"/>
          <w:lang w:val="pt-BR"/>
        </w:rPr>
        <w:t>Documentação Preliminar para Análise</w:t>
      </w:r>
      <w:r>
        <w:rPr>
          <w:rFonts w:ascii="Bookman Old Style" w:eastAsia="MS Mincho" w:hAnsi="Bookman Old Style" w:cs="Tahoma"/>
          <w:sz w:val="20"/>
          <w:szCs w:val="20"/>
          <w:lang w:val="pt-BR"/>
        </w:rPr>
        <w:t xml:space="preserve">: </w:t>
      </w:r>
      <w:r w:rsidRPr="00A6063B">
        <w:rPr>
          <w:rFonts w:ascii="Bookman Old Style" w:eastAsia="MS Mincho" w:hAnsi="Bookman Old Style" w:cs="Tahoma"/>
          <w:sz w:val="20"/>
          <w:szCs w:val="20"/>
        </w:rPr>
        <w:t>Para que se possa realizar as atividades de Vistoria Técnica d</w:t>
      </w:r>
      <w:r>
        <w:rPr>
          <w:rFonts w:ascii="Bookman Old Style" w:eastAsia="MS Mincho" w:hAnsi="Bookman Old Style" w:cs="Tahoma"/>
          <w:sz w:val="20"/>
          <w:szCs w:val="20"/>
        </w:rPr>
        <w:t xml:space="preserve">eve ser solicitado ao Cliente o </w:t>
      </w:r>
      <w:r w:rsidRPr="00A6063B">
        <w:rPr>
          <w:rFonts w:ascii="Bookman Old Style" w:eastAsia="MS Mincho" w:hAnsi="Bookman Old Style" w:cs="Tahoma"/>
          <w:sz w:val="20"/>
          <w:szCs w:val="20"/>
        </w:rPr>
        <w:t>encaminhamento preliminar dos seguintes documentos, a fim de subsidiar a análise:</w:t>
      </w:r>
    </w:p>
    <w:p w:rsidR="00A6063B" w:rsidRPr="00A6063B" w:rsidRDefault="00A6063B" w:rsidP="00A6063B">
      <w:pPr>
        <w:pStyle w:val="PargrafodaLista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A6063B">
        <w:rPr>
          <w:rFonts w:ascii="Bookman Old Style" w:eastAsia="MS Mincho" w:hAnsi="Bookman Old Style" w:cs="Tahoma"/>
          <w:sz w:val="20"/>
          <w:szCs w:val="20"/>
        </w:rPr>
        <w:t>a) Quadro de Composição do Investimento ou documento similar;</w:t>
      </w:r>
    </w:p>
    <w:p w:rsidR="00A6063B" w:rsidRPr="00A6063B" w:rsidRDefault="00A6063B" w:rsidP="00A6063B">
      <w:pPr>
        <w:pStyle w:val="PargrafodaLista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A6063B">
        <w:rPr>
          <w:rFonts w:ascii="Bookman Old Style" w:eastAsia="MS Mincho" w:hAnsi="Bookman Old Style" w:cs="Tahoma"/>
          <w:sz w:val="20"/>
          <w:szCs w:val="20"/>
        </w:rPr>
        <w:t>b) Peças gráficas e projetos;</w:t>
      </w:r>
    </w:p>
    <w:p w:rsidR="00A6063B" w:rsidRPr="00A6063B" w:rsidRDefault="00A6063B" w:rsidP="00A6063B">
      <w:pPr>
        <w:pStyle w:val="PargrafodaLista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A6063B">
        <w:rPr>
          <w:rFonts w:ascii="Bookman Old Style" w:eastAsia="MS Mincho" w:hAnsi="Bookman Old Style" w:cs="Tahoma"/>
          <w:sz w:val="20"/>
          <w:szCs w:val="20"/>
        </w:rPr>
        <w:t>c) Boletim de Medição ou documento equivalente de cada etapa já concluída da obra;</w:t>
      </w:r>
    </w:p>
    <w:p w:rsidR="00A6063B" w:rsidRPr="00A6063B" w:rsidRDefault="00A6063B" w:rsidP="00A6063B">
      <w:pPr>
        <w:pStyle w:val="PargrafodaLista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A6063B">
        <w:rPr>
          <w:rFonts w:ascii="Bookman Old Style" w:eastAsia="MS Mincho" w:hAnsi="Bookman Old Style" w:cs="Tahoma"/>
          <w:sz w:val="20"/>
          <w:szCs w:val="20"/>
        </w:rPr>
        <w:t>d) Memorial descritivo / especificações técnicas;</w:t>
      </w:r>
    </w:p>
    <w:p w:rsidR="00A6063B" w:rsidRPr="00A6063B" w:rsidRDefault="00A6063B" w:rsidP="00A6063B">
      <w:pPr>
        <w:pStyle w:val="PargrafodaLista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A6063B">
        <w:rPr>
          <w:rFonts w:ascii="Bookman Old Style" w:eastAsia="MS Mincho" w:hAnsi="Bookman Old Style" w:cs="Tahoma"/>
          <w:sz w:val="20"/>
          <w:szCs w:val="20"/>
        </w:rPr>
        <w:t>e) Cronograma físico-financeiro;</w:t>
      </w:r>
    </w:p>
    <w:p w:rsidR="00A6063B" w:rsidRPr="00A6063B" w:rsidRDefault="00A6063B" w:rsidP="00A6063B">
      <w:pPr>
        <w:pStyle w:val="PargrafodaLista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A6063B">
        <w:rPr>
          <w:rFonts w:ascii="Bookman Old Style" w:eastAsia="MS Mincho" w:hAnsi="Bookman Old Style" w:cs="Tahoma"/>
          <w:sz w:val="20"/>
          <w:szCs w:val="20"/>
        </w:rPr>
        <w:t>f) Orçamento discriminado;</w:t>
      </w:r>
    </w:p>
    <w:p w:rsidR="00A6063B" w:rsidRDefault="00A6063B" w:rsidP="00A6063B">
      <w:pPr>
        <w:pStyle w:val="PargrafodaLista"/>
        <w:contextualSpacing/>
        <w:jc w:val="both"/>
        <w:rPr>
          <w:rFonts w:ascii="Bookman Old Style" w:eastAsia="MS Mincho" w:hAnsi="Bookman Old Style" w:cs="Tahoma"/>
          <w:sz w:val="20"/>
          <w:szCs w:val="20"/>
          <w:lang w:val="pt-BR"/>
        </w:rPr>
      </w:pPr>
      <w:r w:rsidRPr="00A6063B">
        <w:rPr>
          <w:rFonts w:ascii="Bookman Old Style" w:eastAsia="MS Mincho" w:hAnsi="Bookman Old Style" w:cs="Tahoma"/>
          <w:sz w:val="20"/>
          <w:szCs w:val="20"/>
          <w:lang w:val="pt-BR"/>
        </w:rPr>
        <w:t>g) Documentação do terreno de implantação.</w:t>
      </w:r>
    </w:p>
    <w:p w:rsidR="00A6063B" w:rsidRDefault="00A6063B" w:rsidP="00A6063B">
      <w:pPr>
        <w:pStyle w:val="PargrafodaLista"/>
        <w:contextualSpacing/>
        <w:jc w:val="both"/>
        <w:rPr>
          <w:rFonts w:ascii="Bookman Old Style" w:eastAsia="MS Mincho" w:hAnsi="Bookman Old Style" w:cs="Tahoma"/>
          <w:sz w:val="20"/>
          <w:szCs w:val="20"/>
          <w:lang w:val="pt-BR"/>
        </w:rPr>
      </w:pPr>
      <w:r w:rsidRPr="00A6063B">
        <w:rPr>
          <w:rFonts w:ascii="Bookman Old Style" w:eastAsia="MS Mincho" w:hAnsi="Bookman Old Style" w:cs="Tahoma"/>
          <w:sz w:val="20"/>
          <w:szCs w:val="20"/>
        </w:rPr>
        <w:t>Podem ser dispensados ou acrescentados documentos conforme acordado c</w:t>
      </w:r>
      <w:r>
        <w:rPr>
          <w:rFonts w:ascii="Bookman Old Style" w:eastAsia="MS Mincho" w:hAnsi="Bookman Old Style" w:cs="Tahoma"/>
          <w:sz w:val="20"/>
          <w:szCs w:val="20"/>
        </w:rPr>
        <w:t xml:space="preserve">om o Cliente e necessidade </w:t>
      </w:r>
      <w:r w:rsidRPr="00A6063B">
        <w:rPr>
          <w:rFonts w:ascii="Bookman Old Style" w:eastAsia="MS Mincho" w:hAnsi="Bookman Old Style" w:cs="Tahoma"/>
          <w:sz w:val="20"/>
          <w:szCs w:val="20"/>
          <w:lang w:val="pt-BR"/>
        </w:rPr>
        <w:t>identificada pela GIGOV responsável pela realização do serviço.</w:t>
      </w:r>
    </w:p>
    <w:p w:rsidR="00A6063B" w:rsidRPr="00A6063B" w:rsidRDefault="00A6063B" w:rsidP="00A6063B">
      <w:pPr>
        <w:pStyle w:val="PargrafodaLista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A6063B">
        <w:rPr>
          <w:rFonts w:ascii="Bookman Old Style" w:eastAsia="MS Mincho" w:hAnsi="Bookman Old Style" w:cs="Tahoma"/>
          <w:b/>
          <w:sz w:val="20"/>
          <w:szCs w:val="20"/>
          <w:lang w:val="pt-BR"/>
        </w:rPr>
        <w:t xml:space="preserve">3.6. </w:t>
      </w:r>
      <w:r w:rsidRPr="00A6063B">
        <w:rPr>
          <w:rFonts w:ascii="Bookman Old Style" w:eastAsia="MS Mincho" w:hAnsi="Bookman Old Style" w:cs="Tahoma"/>
          <w:sz w:val="20"/>
          <w:szCs w:val="20"/>
          <w:lang w:val="pt-BR"/>
        </w:rPr>
        <w:t>Conclusão do Serviço</w:t>
      </w:r>
      <w:r>
        <w:rPr>
          <w:rFonts w:ascii="Bookman Old Style" w:eastAsia="MS Mincho" w:hAnsi="Bookman Old Style" w:cs="Tahoma"/>
          <w:sz w:val="20"/>
          <w:szCs w:val="20"/>
          <w:lang w:val="pt-BR"/>
        </w:rPr>
        <w:t xml:space="preserve">: </w:t>
      </w:r>
      <w:r w:rsidRPr="00A6063B">
        <w:rPr>
          <w:rFonts w:ascii="Bookman Old Style" w:eastAsia="MS Mincho" w:hAnsi="Bookman Old Style" w:cs="Tahoma"/>
          <w:sz w:val="20"/>
          <w:szCs w:val="20"/>
        </w:rPr>
        <w:t>Como produto da atividade de acompanhamento é elaborado o Relatóri</w:t>
      </w:r>
      <w:r>
        <w:rPr>
          <w:rFonts w:ascii="Bookman Old Style" w:eastAsia="MS Mincho" w:hAnsi="Bookman Old Style" w:cs="Tahoma"/>
          <w:sz w:val="20"/>
          <w:szCs w:val="20"/>
        </w:rPr>
        <w:t xml:space="preserve">o de Acompanhamento de Obra, de </w:t>
      </w:r>
      <w:r w:rsidRPr="00A6063B">
        <w:rPr>
          <w:rFonts w:ascii="Bookman Old Style" w:eastAsia="MS Mincho" w:hAnsi="Bookman Old Style" w:cs="Tahoma"/>
          <w:sz w:val="20"/>
          <w:szCs w:val="20"/>
        </w:rPr>
        <w:t>livre redação, conforme o tipo de empreendimento e a necessidade do Cliente.</w:t>
      </w:r>
    </w:p>
    <w:p w:rsidR="00A6063B" w:rsidRPr="00A6063B" w:rsidRDefault="00A6063B" w:rsidP="00A6063B">
      <w:pPr>
        <w:pStyle w:val="PargrafodaLista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A6063B">
        <w:rPr>
          <w:rFonts w:ascii="Bookman Old Style" w:eastAsia="MS Mincho" w:hAnsi="Bookman Old Style" w:cs="Tahoma"/>
          <w:sz w:val="20"/>
          <w:szCs w:val="20"/>
        </w:rPr>
        <w:t>O relatório/parecer deve ser assinado pelo(s) responsável(is) técnico(s) pela sua elaboração.</w:t>
      </w:r>
    </w:p>
    <w:p w:rsidR="00A6063B" w:rsidRPr="00A6063B" w:rsidRDefault="00A6063B" w:rsidP="00A6063B">
      <w:pPr>
        <w:pStyle w:val="PargrafodaLista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A6063B">
        <w:rPr>
          <w:rFonts w:ascii="Bookman Old Style" w:eastAsia="MS Mincho" w:hAnsi="Bookman Old Style" w:cs="Tahoma"/>
          <w:sz w:val="20"/>
          <w:szCs w:val="20"/>
        </w:rPr>
        <w:t>A partir da vistoria técnica realizada, caso haja divergência entre o que foi</w:t>
      </w:r>
      <w:r>
        <w:rPr>
          <w:rFonts w:ascii="Bookman Old Style" w:eastAsia="MS Mincho" w:hAnsi="Bookman Old Style" w:cs="Tahoma"/>
          <w:sz w:val="20"/>
          <w:szCs w:val="20"/>
        </w:rPr>
        <w:t xml:space="preserve"> medido pelo fiscal da obra e o </w:t>
      </w:r>
      <w:r w:rsidRPr="00A6063B">
        <w:rPr>
          <w:rFonts w:ascii="Bookman Old Style" w:eastAsia="MS Mincho" w:hAnsi="Bookman Old Style" w:cs="Tahoma"/>
          <w:sz w:val="20"/>
          <w:szCs w:val="20"/>
        </w:rPr>
        <w:t>aferido pelo arquiteto/engenheiro da GIGOV/REGOV, essa é apontada no Relató</w:t>
      </w:r>
      <w:r>
        <w:rPr>
          <w:rFonts w:ascii="Bookman Old Style" w:eastAsia="MS Mincho" w:hAnsi="Bookman Old Style" w:cs="Tahoma"/>
          <w:sz w:val="20"/>
          <w:szCs w:val="20"/>
        </w:rPr>
        <w:t xml:space="preserve">rio de Acompanhamento de Obra e </w:t>
      </w:r>
      <w:r w:rsidRPr="00A6063B">
        <w:rPr>
          <w:rFonts w:ascii="Bookman Old Style" w:eastAsia="MS Mincho" w:hAnsi="Bookman Old Style" w:cs="Tahoma"/>
          <w:sz w:val="20"/>
          <w:szCs w:val="20"/>
        </w:rPr>
        <w:t>evidenciada por meio de relatório fotográfico.</w:t>
      </w:r>
    </w:p>
    <w:p w:rsidR="00A6063B" w:rsidRDefault="00A6063B" w:rsidP="00A6063B">
      <w:pPr>
        <w:pStyle w:val="PargrafodaLista"/>
        <w:contextualSpacing/>
        <w:jc w:val="both"/>
        <w:rPr>
          <w:rFonts w:ascii="Bookman Old Style" w:eastAsia="MS Mincho" w:hAnsi="Bookman Old Style" w:cs="Tahoma"/>
          <w:sz w:val="20"/>
          <w:szCs w:val="20"/>
          <w:lang w:val="pt-BR"/>
        </w:rPr>
      </w:pPr>
      <w:r w:rsidRPr="00A6063B">
        <w:rPr>
          <w:rFonts w:ascii="Bookman Old Style" w:eastAsia="MS Mincho" w:hAnsi="Bookman Old Style" w:cs="Tahoma"/>
          <w:sz w:val="20"/>
          <w:szCs w:val="20"/>
        </w:rPr>
        <w:t>No caso de contrato de Execução e/ou Fornecimento que englobe várias frentes de serviços, se j</w:t>
      </w:r>
      <w:r>
        <w:rPr>
          <w:rFonts w:ascii="Bookman Old Style" w:eastAsia="MS Mincho" w:hAnsi="Bookman Old Style" w:cs="Tahoma"/>
          <w:sz w:val="20"/>
          <w:szCs w:val="20"/>
        </w:rPr>
        <w:t xml:space="preserve">ustificada </w:t>
      </w:r>
      <w:r w:rsidRPr="00A6063B">
        <w:rPr>
          <w:rFonts w:ascii="Bookman Old Style" w:eastAsia="MS Mincho" w:hAnsi="Bookman Old Style" w:cs="Tahoma"/>
          <w:sz w:val="20"/>
          <w:szCs w:val="20"/>
        </w:rPr>
        <w:t>a necessidade de acompanhamentos parciais, são elaborados tantos Relatórios parc</w:t>
      </w:r>
      <w:r>
        <w:rPr>
          <w:rFonts w:ascii="Bookman Old Style" w:eastAsia="MS Mincho" w:hAnsi="Bookman Old Style" w:cs="Tahoma"/>
          <w:sz w:val="20"/>
          <w:szCs w:val="20"/>
        </w:rPr>
        <w:t xml:space="preserve">iais quantos forem necessários, </w:t>
      </w:r>
      <w:r w:rsidRPr="00A6063B">
        <w:rPr>
          <w:rFonts w:ascii="Bookman Old Style" w:eastAsia="MS Mincho" w:hAnsi="Bookman Old Style" w:cs="Tahoma"/>
          <w:sz w:val="20"/>
          <w:szCs w:val="20"/>
          <w:lang w:val="pt-BR"/>
        </w:rPr>
        <w:t>sendo, ao final, produzido um Relatório de Acompanhamento Consolidado.</w:t>
      </w:r>
    </w:p>
    <w:p w:rsidR="00627E50" w:rsidRPr="00627E50" w:rsidRDefault="00A6063B" w:rsidP="00A6063B">
      <w:pPr>
        <w:pStyle w:val="PargrafodaLista"/>
        <w:contextualSpacing/>
        <w:jc w:val="both"/>
        <w:rPr>
          <w:rFonts w:ascii="Bookman Old Style" w:eastAsia="MS Mincho" w:hAnsi="Bookman Old Style" w:cs="Tahoma"/>
          <w:sz w:val="20"/>
          <w:szCs w:val="20"/>
          <w:lang w:val="pt-BR"/>
        </w:rPr>
      </w:pPr>
      <w:r w:rsidRPr="00A6063B">
        <w:rPr>
          <w:rFonts w:ascii="Bookman Old Style" w:eastAsia="MS Mincho" w:hAnsi="Bookman Old Style" w:cs="Tahoma"/>
          <w:sz w:val="20"/>
          <w:szCs w:val="20"/>
          <w:lang w:val="pt-BR"/>
        </w:rPr>
        <w:t xml:space="preserve">O Relatório Consolidado é elaborado por arquiteto/engenheiro da GIGOV e </w:t>
      </w:r>
      <w:r>
        <w:rPr>
          <w:rFonts w:ascii="Bookman Old Style" w:eastAsia="MS Mincho" w:hAnsi="Bookman Old Style" w:cs="Tahoma"/>
          <w:sz w:val="20"/>
          <w:szCs w:val="20"/>
          <w:lang w:val="pt-BR"/>
        </w:rPr>
        <w:t xml:space="preserve">tem o objetivo de sintetizar as </w:t>
      </w:r>
      <w:r w:rsidRPr="00A6063B">
        <w:rPr>
          <w:rFonts w:ascii="Bookman Old Style" w:eastAsia="MS Mincho" w:hAnsi="Bookman Old Style" w:cs="Tahoma"/>
          <w:sz w:val="20"/>
          <w:szCs w:val="20"/>
          <w:lang w:val="pt-BR"/>
        </w:rPr>
        <w:t>informações dos diversos relatórios de acompanhamento anexados.</w:t>
      </w:r>
    </w:p>
    <w:p w:rsidR="00D30F9C" w:rsidRPr="007425F0" w:rsidRDefault="00D30F9C" w:rsidP="00D30F9C">
      <w:pPr>
        <w:spacing w:after="0" w:line="240" w:lineRule="auto"/>
        <w:contextualSpacing/>
        <w:jc w:val="both"/>
        <w:rPr>
          <w:rFonts w:ascii="Bookman Old Style" w:eastAsia="MS Mincho" w:hAnsi="Bookman Old Style" w:cs="Tahoma"/>
          <w:sz w:val="20"/>
          <w:szCs w:val="20"/>
        </w:rPr>
      </w:pPr>
      <w:r w:rsidRPr="007425F0">
        <w:rPr>
          <w:rFonts w:ascii="Bookman Old Style" w:eastAsia="MS Mincho" w:hAnsi="Bookman Old Style" w:cs="Tahoma"/>
          <w:sz w:val="20"/>
          <w:szCs w:val="20"/>
        </w:rPr>
        <w:t xml:space="preserve">   </w:t>
      </w:r>
    </w:p>
    <w:p w:rsidR="00D30F9C" w:rsidRPr="00A6063B" w:rsidRDefault="00D30F9C" w:rsidP="00A6063B">
      <w:pPr>
        <w:pStyle w:val="PargrafodaLista"/>
        <w:numPr>
          <w:ilvl w:val="0"/>
          <w:numId w:val="2"/>
        </w:numPr>
        <w:tabs>
          <w:tab w:val="left" w:pos="750"/>
        </w:tabs>
        <w:adjustRightInd w:val="0"/>
        <w:spacing w:before="15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t-BR"/>
        </w:rPr>
      </w:pPr>
      <w:r w:rsidRPr="00A6063B">
        <w:rPr>
          <w:rFonts w:ascii="Bookman Old Style" w:eastAsia="Times New Roman" w:hAnsi="Bookman Old Style" w:cs="Arial"/>
          <w:b/>
          <w:bCs/>
          <w:sz w:val="20"/>
          <w:szCs w:val="20"/>
          <w:lang w:eastAsia="pt-BR"/>
        </w:rPr>
        <w:t>REQUISITOS DA CONTRATAÇÃO (art. 6º, inciso XXIII, alínea ‘d’ da Lei nº 14.133/2021)</w:t>
      </w:r>
    </w:p>
    <w:p w:rsidR="00D30F9C" w:rsidRPr="007425F0" w:rsidRDefault="00D30F9C" w:rsidP="00D30F9C">
      <w:pPr>
        <w:spacing w:after="0"/>
        <w:contextualSpacing/>
        <w:jc w:val="both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</w:p>
    <w:p w:rsidR="00D30F9C" w:rsidRPr="007030B9" w:rsidRDefault="00D30F9C" w:rsidP="00A6063B">
      <w:pPr>
        <w:pStyle w:val="PargrafodaLista"/>
        <w:numPr>
          <w:ilvl w:val="1"/>
          <w:numId w:val="2"/>
        </w:numPr>
        <w:adjustRightInd w:val="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</w:pPr>
      <w:r w:rsidRPr="007030B9">
        <w:rPr>
          <w:rFonts w:ascii="Bookman Old Style" w:eastAsia="Times New Roman" w:hAnsi="Bookman Old Style" w:cs="Bookman Old Style"/>
          <w:bCs/>
          <w:sz w:val="20"/>
          <w:szCs w:val="20"/>
          <w:lang w:val="pt-BR" w:eastAsia="pt-BR"/>
        </w:rPr>
        <w:t>A contratante deve atuar em conformidade com todas as leis e normativas aplicáveis à sua operação, garantindo a legalidade e ética na execução do contrato.</w:t>
      </w:r>
    </w:p>
    <w:p w:rsidR="00A6063B" w:rsidRPr="00A6063B" w:rsidRDefault="00A6063B" w:rsidP="00A6063B">
      <w:pPr>
        <w:pStyle w:val="PargrafodaLista"/>
        <w:numPr>
          <w:ilvl w:val="1"/>
          <w:numId w:val="2"/>
        </w:numPr>
        <w:adjustRightInd w:val="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</w:pPr>
      <w:r w:rsidRPr="00A6063B"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  <w:t>Documentação Preliminar para Análise: Para que se possa realizar as atividades de Vistoria Técnica deve ser solicitado ao Cliente o encaminhamento preliminar dos seguintes documentos, a fim de subsidiar a análise:</w:t>
      </w:r>
    </w:p>
    <w:p w:rsidR="00A6063B" w:rsidRPr="00A6063B" w:rsidRDefault="00A6063B" w:rsidP="00A6063B">
      <w:pPr>
        <w:pStyle w:val="PargrafodaLista"/>
        <w:numPr>
          <w:ilvl w:val="1"/>
          <w:numId w:val="2"/>
        </w:numPr>
        <w:adjustRightInd w:val="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</w:pPr>
      <w:r w:rsidRPr="00A6063B"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  <w:t>Quadro de Composição do Investimento ou documento similar;</w:t>
      </w:r>
    </w:p>
    <w:p w:rsidR="00A6063B" w:rsidRPr="00A6063B" w:rsidRDefault="00A6063B" w:rsidP="00A6063B">
      <w:pPr>
        <w:pStyle w:val="PargrafodaLista"/>
        <w:numPr>
          <w:ilvl w:val="1"/>
          <w:numId w:val="2"/>
        </w:numPr>
        <w:adjustRightInd w:val="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</w:pPr>
      <w:r w:rsidRPr="00A6063B"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  <w:t>Peças gráficas e projetos;</w:t>
      </w:r>
    </w:p>
    <w:p w:rsidR="00A6063B" w:rsidRPr="00A6063B" w:rsidRDefault="00A6063B" w:rsidP="00A6063B">
      <w:pPr>
        <w:pStyle w:val="PargrafodaLista"/>
        <w:numPr>
          <w:ilvl w:val="1"/>
          <w:numId w:val="2"/>
        </w:numPr>
        <w:adjustRightInd w:val="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</w:pPr>
      <w:r w:rsidRPr="00A6063B"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  <w:t>Boletim de Medição ou documento equivalente de cada etapa já concluída da obra;</w:t>
      </w:r>
    </w:p>
    <w:p w:rsidR="00A6063B" w:rsidRPr="00A6063B" w:rsidRDefault="00A6063B" w:rsidP="00A6063B">
      <w:pPr>
        <w:pStyle w:val="PargrafodaLista"/>
        <w:numPr>
          <w:ilvl w:val="1"/>
          <w:numId w:val="2"/>
        </w:numPr>
        <w:adjustRightInd w:val="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</w:pPr>
      <w:r w:rsidRPr="00A6063B"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  <w:t>Memorial descritivo / especificações técnicas;</w:t>
      </w:r>
    </w:p>
    <w:p w:rsidR="00A6063B" w:rsidRPr="00A6063B" w:rsidRDefault="00A6063B" w:rsidP="00A6063B">
      <w:pPr>
        <w:pStyle w:val="PargrafodaLista"/>
        <w:numPr>
          <w:ilvl w:val="1"/>
          <w:numId w:val="2"/>
        </w:numPr>
        <w:adjustRightInd w:val="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</w:pPr>
      <w:r w:rsidRPr="00A6063B"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  <w:t>Cronograma físico-financeiro;</w:t>
      </w:r>
    </w:p>
    <w:p w:rsidR="00A6063B" w:rsidRPr="00A6063B" w:rsidRDefault="00A6063B" w:rsidP="00A6063B">
      <w:pPr>
        <w:pStyle w:val="PargrafodaLista"/>
        <w:numPr>
          <w:ilvl w:val="1"/>
          <w:numId w:val="2"/>
        </w:numPr>
        <w:adjustRightInd w:val="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</w:pPr>
      <w:r w:rsidRPr="00A6063B"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  <w:t>Orçamento discriminado;</w:t>
      </w:r>
    </w:p>
    <w:p w:rsidR="00A6063B" w:rsidRPr="00A6063B" w:rsidRDefault="00A6063B" w:rsidP="00A6063B">
      <w:pPr>
        <w:pStyle w:val="PargrafodaLista"/>
        <w:numPr>
          <w:ilvl w:val="1"/>
          <w:numId w:val="2"/>
        </w:numPr>
        <w:adjustRightInd w:val="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</w:pPr>
      <w:r w:rsidRPr="00A6063B"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  <w:t>Documentação do terreno de implantação.</w:t>
      </w:r>
    </w:p>
    <w:p w:rsidR="0057550A" w:rsidRDefault="0057550A" w:rsidP="0057550A">
      <w:pPr>
        <w:pStyle w:val="PargrafodaLista"/>
        <w:adjustRightInd w:val="0"/>
        <w:ind w:left="432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</w:pPr>
    </w:p>
    <w:p w:rsidR="00D30F9C" w:rsidRDefault="00A6063B" w:rsidP="0057550A">
      <w:pPr>
        <w:pStyle w:val="PargrafodaLista"/>
        <w:adjustRightInd w:val="0"/>
        <w:ind w:left="432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</w:pPr>
      <w:r w:rsidRPr="00A6063B"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  <w:lastRenderedPageBreak/>
        <w:t>Podem ser dispensados ou acrescentados documentos conforme acordado com o Cliente e necessidade identificada pela GIGOV responsável pela realização do serviço.</w:t>
      </w:r>
    </w:p>
    <w:p w:rsidR="00D30F9C" w:rsidRPr="007030B9" w:rsidRDefault="00D30F9C" w:rsidP="00D30F9C">
      <w:pPr>
        <w:pStyle w:val="PargrafodaLista"/>
        <w:adjustRightInd w:val="0"/>
        <w:ind w:left="72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t-BR"/>
        </w:rPr>
      </w:pPr>
    </w:p>
    <w:p w:rsidR="00D30F9C" w:rsidRPr="0057550A" w:rsidRDefault="00D30F9C" w:rsidP="0057550A">
      <w:pPr>
        <w:pStyle w:val="PargrafodaLista"/>
        <w:numPr>
          <w:ilvl w:val="0"/>
          <w:numId w:val="5"/>
        </w:numPr>
        <w:adjustRightInd w:val="0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t-BR"/>
        </w:rPr>
      </w:pPr>
      <w:r w:rsidRPr="0057550A">
        <w:rPr>
          <w:rFonts w:ascii="Bookman Old Style" w:eastAsia="Times New Roman" w:hAnsi="Bookman Old Style" w:cs="Bookman Old Style"/>
          <w:b/>
          <w:bCs/>
          <w:sz w:val="20"/>
          <w:szCs w:val="20"/>
          <w:lang w:eastAsia="pt-BR"/>
        </w:rPr>
        <w:t>MODELO DE EXECUÇÃO DO OBJETO, QUE CONSISTE NA DEFINIÇÃO DE COMO O CONTRATO DEVERÁ PRODUZIR OS RESULTADOS PRETENDIDOS DESDE O SEU INÍCIO ATÉ O SEU ENCERRAMENTO. (Art. 6º, inciso XXIII, alínea ‘e’, da Lei nº 14.133/2021)</w:t>
      </w:r>
    </w:p>
    <w:p w:rsidR="00D30F9C" w:rsidRPr="007425F0" w:rsidRDefault="00D30F9C" w:rsidP="00D30F9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t-BR"/>
        </w:rPr>
      </w:pPr>
    </w:p>
    <w:p w:rsidR="00D30F9C" w:rsidRPr="00E017A3" w:rsidRDefault="00D30F9C" w:rsidP="00D30F9C">
      <w:pPr>
        <w:pStyle w:val="PargrafodaLista"/>
        <w:numPr>
          <w:ilvl w:val="1"/>
          <w:numId w:val="5"/>
        </w:numPr>
        <w:contextualSpacing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E017A3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 xml:space="preserve">As partes envolvidas formalizarão o contrato, detalhando claramente os termos, condições, obrigações e responsabilidades. Isso incluirá </w:t>
      </w:r>
      <w:r w:rsidR="00E017A3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>a definição do valor</w:t>
      </w:r>
      <w:r w:rsidRPr="00E017A3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>, prazos de pagamento, e cláusulas relacionadas à transparência e prestação de contas</w:t>
      </w:r>
      <w:r w:rsidRPr="00E017A3">
        <w:rPr>
          <w:rFonts w:ascii="Bookman Old Style" w:eastAsia="Times New Roman" w:hAnsi="Bookman Old Style" w:cs="Arial"/>
          <w:sz w:val="20"/>
          <w:szCs w:val="20"/>
          <w:lang w:eastAsia="pt-BR"/>
        </w:rPr>
        <w:t>.</w:t>
      </w:r>
    </w:p>
    <w:p w:rsidR="00D30F9C" w:rsidRPr="00C0011E" w:rsidRDefault="00D30F9C" w:rsidP="00E017A3">
      <w:pPr>
        <w:pStyle w:val="PargrafodaLista"/>
        <w:numPr>
          <w:ilvl w:val="1"/>
          <w:numId w:val="5"/>
        </w:numPr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E017A3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E017A3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 xml:space="preserve">Após a formalização, a </w:t>
      </w:r>
      <w:r w:rsidR="00E017A3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 xml:space="preserve">contratada irá realizar o escopo do serviço, a vistoria técnica e </w:t>
      </w:r>
      <w:r w:rsidR="00C0011E"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>acompanhamento verificando documentação preliminar para análise.</w:t>
      </w:r>
    </w:p>
    <w:p w:rsidR="00C0011E" w:rsidRPr="000C4137" w:rsidRDefault="00C0011E" w:rsidP="00E017A3">
      <w:pPr>
        <w:pStyle w:val="PargrafodaLista"/>
        <w:numPr>
          <w:ilvl w:val="1"/>
          <w:numId w:val="5"/>
        </w:numPr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  <w:lang w:val="pt-BR" w:eastAsia="pt-BR"/>
        </w:rPr>
        <w:t>Após a conclusão do serviço, será elaborado o relatório de acompanhamento de obra.</w:t>
      </w:r>
    </w:p>
    <w:p w:rsidR="00D30F9C" w:rsidRPr="007425F0" w:rsidRDefault="00D30F9C" w:rsidP="00D30F9C">
      <w:pPr>
        <w:numPr>
          <w:ilvl w:val="0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b/>
          <w:sz w:val="20"/>
          <w:szCs w:val="20"/>
        </w:rPr>
      </w:pPr>
      <w:r w:rsidRPr="007425F0">
        <w:rPr>
          <w:rFonts w:ascii="Bookman Old Style" w:eastAsia="Yu Mincho" w:hAnsi="Bookman Old Style" w:cs="Cambria"/>
          <w:b/>
          <w:sz w:val="20"/>
          <w:szCs w:val="20"/>
        </w:rPr>
        <w:t>MODELO DE GESTÃO DO CONTRATO, QUE DESCREVE COMO A EXECUÇÃO DO OBJETO SERÁ ACOMPANHADA E FISCALIZADA PELO ÓRGÃO OU ENTIDADE. (Art. 6º, inciso XXIII, alínea ‘f’, da Lei nº 14.133/2021).</w:t>
      </w:r>
    </w:p>
    <w:p w:rsidR="00D30F9C" w:rsidRDefault="0057550A" w:rsidP="0057550A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57550A">
        <w:rPr>
          <w:rFonts w:ascii="Bookman Old Style" w:eastAsia="Yu Mincho" w:hAnsi="Bookman Old Style" w:cs="Cambria"/>
          <w:sz w:val="20"/>
          <w:szCs w:val="20"/>
        </w:rPr>
        <w:t>Elaborar, em conjunto com o CONTRATANTE, a programação dos serviços a serem prestados, objeto do</w:t>
      </w:r>
      <w:r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57550A">
        <w:rPr>
          <w:rFonts w:ascii="Bookman Old Style" w:eastAsia="Yu Mincho" w:hAnsi="Bookman Old Style" w:cs="Cambria"/>
          <w:sz w:val="20"/>
          <w:szCs w:val="20"/>
        </w:rPr>
        <w:t>presente termo;</w:t>
      </w:r>
    </w:p>
    <w:p w:rsidR="0057550A" w:rsidRDefault="0057550A" w:rsidP="0057550A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57550A">
        <w:rPr>
          <w:rFonts w:ascii="Bookman Old Style" w:eastAsia="Yu Mincho" w:hAnsi="Bookman Old Style" w:cs="Cambria"/>
          <w:sz w:val="20"/>
          <w:szCs w:val="20"/>
        </w:rPr>
        <w:t>Manter, durante todo o Contrato, equipe técnica regular, qualificada e suficiente para a prestação dos serviços</w:t>
      </w:r>
      <w:r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57550A">
        <w:rPr>
          <w:rFonts w:ascii="Bookman Old Style" w:eastAsia="Yu Mincho" w:hAnsi="Bookman Old Style" w:cs="Cambria"/>
          <w:sz w:val="20"/>
          <w:szCs w:val="20"/>
        </w:rPr>
        <w:t>aqui descritos;</w:t>
      </w:r>
    </w:p>
    <w:p w:rsidR="0057550A" w:rsidRDefault="0057550A" w:rsidP="0057550A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57550A">
        <w:rPr>
          <w:rFonts w:ascii="Bookman Old Style" w:eastAsia="Yu Mincho" w:hAnsi="Bookman Old Style" w:cs="Cambria"/>
          <w:sz w:val="20"/>
          <w:szCs w:val="20"/>
        </w:rPr>
        <w:t>Executar integralmente os serviços contratados, nos prazos ajustados, por meio de pessoas tecnicamente</w:t>
      </w:r>
      <w:r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57550A">
        <w:rPr>
          <w:rFonts w:ascii="Bookman Old Style" w:eastAsia="Yu Mincho" w:hAnsi="Bookman Old Style" w:cs="Cambria"/>
          <w:sz w:val="20"/>
          <w:szCs w:val="20"/>
        </w:rPr>
        <w:t>capacitadas;</w:t>
      </w:r>
    </w:p>
    <w:p w:rsidR="0057550A" w:rsidRDefault="0057550A" w:rsidP="0057550A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57550A">
        <w:rPr>
          <w:rFonts w:ascii="Bookman Old Style" w:eastAsia="Yu Mincho" w:hAnsi="Bookman Old Style" w:cs="Cambria"/>
          <w:sz w:val="20"/>
          <w:szCs w:val="20"/>
        </w:rPr>
        <w:t>Não empregar, na realização dos serviços objeto do presente Contrato, pessoas físicas ou jurídicas envolvidas</w:t>
      </w:r>
      <w:r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57550A">
        <w:rPr>
          <w:rFonts w:ascii="Bookman Old Style" w:eastAsia="Yu Mincho" w:hAnsi="Bookman Old Style" w:cs="Cambria"/>
          <w:sz w:val="20"/>
          <w:szCs w:val="20"/>
        </w:rPr>
        <w:t xml:space="preserve">nos projetos, serviços e obras licitados pelo CONTRATANTE, para a execução da </w:t>
      </w:r>
      <w:r>
        <w:rPr>
          <w:rFonts w:ascii="Bookman Old Style" w:eastAsia="Yu Mincho" w:hAnsi="Bookman Old Style" w:cs="Cambria"/>
          <w:sz w:val="20"/>
          <w:szCs w:val="20"/>
        </w:rPr>
        <w:t xml:space="preserve">intervenção elencada e definida, </w:t>
      </w:r>
      <w:r w:rsidRPr="0057550A">
        <w:rPr>
          <w:rFonts w:ascii="Bookman Old Style" w:eastAsia="Yu Mincho" w:hAnsi="Bookman Old Style" w:cs="Cambria"/>
          <w:sz w:val="20"/>
          <w:szCs w:val="20"/>
        </w:rPr>
        <w:t>devendo prestar os serviços por intermédio de profissionais devidamente habilitados, selecionados e qualificados, na</w:t>
      </w:r>
      <w:r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57550A">
        <w:rPr>
          <w:rFonts w:ascii="Bookman Old Style" w:eastAsia="Yu Mincho" w:hAnsi="Bookman Old Style" w:cs="Cambria"/>
          <w:sz w:val="20"/>
          <w:szCs w:val="20"/>
        </w:rPr>
        <w:t>forma da legislação aplicável;</w:t>
      </w:r>
    </w:p>
    <w:p w:rsidR="0057550A" w:rsidRDefault="0057550A" w:rsidP="0057550A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57550A">
        <w:rPr>
          <w:rFonts w:ascii="Bookman Old Style" w:eastAsia="Yu Mincho" w:hAnsi="Bookman Old Style" w:cs="Cambria"/>
          <w:sz w:val="20"/>
          <w:szCs w:val="20"/>
        </w:rPr>
        <w:t>Manter, durante toda a execução do Contrato, em compatibilidade com as obrigações assumidas, todas as</w:t>
      </w:r>
      <w:r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57550A">
        <w:rPr>
          <w:rFonts w:ascii="Bookman Old Style" w:eastAsia="Yu Mincho" w:hAnsi="Bookman Old Style" w:cs="Cambria"/>
          <w:sz w:val="20"/>
          <w:szCs w:val="20"/>
        </w:rPr>
        <w:t>condições de qualificação e habilitação exigidas neste ato;</w:t>
      </w:r>
    </w:p>
    <w:p w:rsidR="0057550A" w:rsidRDefault="0057550A" w:rsidP="0057550A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57550A">
        <w:rPr>
          <w:rFonts w:ascii="Bookman Old Style" w:eastAsia="Yu Mincho" w:hAnsi="Bookman Old Style" w:cs="Cambria"/>
          <w:sz w:val="20"/>
          <w:szCs w:val="20"/>
        </w:rPr>
        <w:t>Cumprir as exigências de reserva de cargos prevista em lei, bem como em outras normas específicas, para</w:t>
      </w:r>
      <w:r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57550A">
        <w:rPr>
          <w:rFonts w:ascii="Bookman Old Style" w:eastAsia="Yu Mincho" w:hAnsi="Bookman Old Style" w:cs="Cambria"/>
          <w:sz w:val="20"/>
          <w:szCs w:val="20"/>
        </w:rPr>
        <w:t>pessoa com deficiência, para reabilitado da Previdência Social e para aprendiz;</w:t>
      </w:r>
    </w:p>
    <w:p w:rsidR="0057550A" w:rsidRDefault="0057550A" w:rsidP="0057550A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57550A">
        <w:rPr>
          <w:rFonts w:ascii="Bookman Old Style" w:eastAsia="Yu Mincho" w:hAnsi="Bookman Old Style" w:cs="Cambria"/>
          <w:sz w:val="20"/>
          <w:szCs w:val="20"/>
        </w:rPr>
        <w:t>Comunicar ao CONTRATANTE, por escrito, qualquer anormalidade verificada na prestação dos serviços, que</w:t>
      </w:r>
      <w:r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57550A">
        <w:rPr>
          <w:rFonts w:ascii="Bookman Old Style" w:eastAsia="Yu Mincho" w:hAnsi="Bookman Old Style" w:cs="Cambria"/>
          <w:sz w:val="20"/>
          <w:szCs w:val="20"/>
        </w:rPr>
        <w:t>ponha em risco a segurança e a qualidade dos serviços e sua execução, dentro do prazo pactuado;</w:t>
      </w:r>
    </w:p>
    <w:p w:rsidR="0057550A" w:rsidRDefault="0057550A" w:rsidP="0057550A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57550A">
        <w:rPr>
          <w:rFonts w:ascii="Bookman Old Style" w:eastAsia="Yu Mincho" w:hAnsi="Bookman Old Style" w:cs="Cambria"/>
          <w:sz w:val="20"/>
          <w:szCs w:val="20"/>
        </w:rPr>
        <w:t>Comunicar ao CONTRATANTE os eventuais casos fortuitos ou de força maior, que possam impedir ou atrasar</w:t>
      </w:r>
      <w:r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57550A">
        <w:rPr>
          <w:rFonts w:ascii="Bookman Old Style" w:eastAsia="Yu Mincho" w:hAnsi="Bookman Old Style" w:cs="Cambria"/>
          <w:sz w:val="20"/>
          <w:szCs w:val="20"/>
        </w:rPr>
        <w:t>a consecução do objeto deste Contrato;</w:t>
      </w:r>
    </w:p>
    <w:p w:rsidR="0057550A" w:rsidRDefault="0057550A" w:rsidP="0057550A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57550A">
        <w:rPr>
          <w:rFonts w:ascii="Bookman Old Style" w:eastAsia="Yu Mincho" w:hAnsi="Bookman Old Style" w:cs="Cambria"/>
          <w:sz w:val="20"/>
          <w:szCs w:val="20"/>
        </w:rPr>
        <w:t>Manter, por si e por seus prepostos, completo sigilo sobre os dados, informações, documentos e pormenores</w:t>
      </w:r>
      <w:r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57550A">
        <w:rPr>
          <w:rFonts w:ascii="Bookman Old Style" w:eastAsia="Yu Mincho" w:hAnsi="Bookman Old Style" w:cs="Cambria"/>
          <w:sz w:val="20"/>
          <w:szCs w:val="20"/>
        </w:rPr>
        <w:t>fornecidos pelo CONTRATANTE, bem como a não divulgar a terceiros quaisque</w:t>
      </w:r>
      <w:r>
        <w:rPr>
          <w:rFonts w:ascii="Bookman Old Style" w:eastAsia="Yu Mincho" w:hAnsi="Bookman Old Style" w:cs="Cambria"/>
          <w:sz w:val="20"/>
          <w:szCs w:val="20"/>
        </w:rPr>
        <w:t xml:space="preserve">r informações relacionadas com o </w:t>
      </w:r>
      <w:r w:rsidRPr="0057550A">
        <w:rPr>
          <w:rFonts w:ascii="Bookman Old Style" w:eastAsia="Yu Mincho" w:hAnsi="Bookman Old Style" w:cs="Cambria"/>
          <w:sz w:val="20"/>
          <w:szCs w:val="20"/>
        </w:rPr>
        <w:t>objeto deste Contrato, exceto quanto aos órgãos legalmente incumbidos de fiscalização, sem a prévia autorização</w:t>
      </w:r>
      <w:r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57550A">
        <w:rPr>
          <w:rFonts w:ascii="Bookman Old Style" w:eastAsia="Yu Mincho" w:hAnsi="Bookman Old Style" w:cs="Cambria"/>
          <w:sz w:val="20"/>
          <w:szCs w:val="20"/>
        </w:rPr>
        <w:t>dada pelo CONTRATANTE, por escrito, obrigando-se, também, a não utilizar o nome ou a logomarca do</w:t>
      </w:r>
      <w:r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57550A">
        <w:rPr>
          <w:rFonts w:ascii="Bookman Old Style" w:eastAsia="Yu Mincho" w:hAnsi="Bookman Old Style" w:cs="Cambria"/>
          <w:sz w:val="20"/>
          <w:szCs w:val="20"/>
        </w:rPr>
        <w:t>CONTRATANTE sem sua prévia autorização, respondendo civil e criminalmente pela inobservância destas</w:t>
      </w:r>
      <w:r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57550A">
        <w:rPr>
          <w:rFonts w:ascii="Bookman Old Style" w:eastAsia="Yu Mincho" w:hAnsi="Bookman Old Style" w:cs="Cambria"/>
          <w:sz w:val="20"/>
          <w:szCs w:val="20"/>
        </w:rPr>
        <w:t>obrigações;</w:t>
      </w:r>
    </w:p>
    <w:p w:rsidR="0057550A" w:rsidRDefault="0057550A" w:rsidP="0057550A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57550A">
        <w:rPr>
          <w:rFonts w:ascii="Bookman Old Style" w:eastAsia="Yu Mincho" w:hAnsi="Bookman Old Style" w:cs="Cambria"/>
          <w:sz w:val="20"/>
          <w:szCs w:val="20"/>
        </w:rPr>
        <w:t>Promover a organização técnica e administrativa dos serviços objeto deste Contrato;</w:t>
      </w:r>
    </w:p>
    <w:p w:rsidR="0057550A" w:rsidRDefault="0057550A" w:rsidP="0057550A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57550A">
        <w:rPr>
          <w:rFonts w:ascii="Bookman Old Style" w:eastAsia="Yu Mincho" w:hAnsi="Bookman Old Style" w:cs="Cambria"/>
          <w:sz w:val="20"/>
          <w:szCs w:val="20"/>
        </w:rPr>
        <w:t>Encaminhar ao CONTRATANTE o “Relatório de Acompanhamento de Obra”, acompanhado do documento para</w:t>
      </w:r>
      <w:r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57550A">
        <w:rPr>
          <w:rFonts w:ascii="Bookman Old Style" w:eastAsia="Yu Mincho" w:hAnsi="Bookman Old Style" w:cs="Cambria"/>
          <w:sz w:val="20"/>
          <w:szCs w:val="20"/>
        </w:rPr>
        <w:t>o ateste do recebimento, após a ex</w:t>
      </w:r>
      <w:r>
        <w:rPr>
          <w:rFonts w:ascii="Bookman Old Style" w:eastAsia="Yu Mincho" w:hAnsi="Bookman Old Style" w:cs="Cambria"/>
          <w:sz w:val="20"/>
          <w:szCs w:val="20"/>
        </w:rPr>
        <w:t>ecução de cada etapa do serviço;</w:t>
      </w:r>
    </w:p>
    <w:p w:rsidR="0057550A" w:rsidRDefault="0057550A" w:rsidP="0057550A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57550A">
        <w:rPr>
          <w:rFonts w:ascii="Bookman Old Style" w:eastAsia="Yu Mincho" w:hAnsi="Bookman Old Style" w:cs="Cambria"/>
          <w:sz w:val="20"/>
          <w:szCs w:val="20"/>
        </w:rPr>
        <w:t>No caso de serviço de Acompanhamento, fornecer ao CONTRATANTE relatório consolidado, conforme</w:t>
      </w:r>
      <w:r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57550A">
        <w:rPr>
          <w:rFonts w:ascii="Bookman Old Style" w:eastAsia="Yu Mincho" w:hAnsi="Bookman Old Style" w:cs="Cambria"/>
          <w:sz w:val="20"/>
          <w:szCs w:val="20"/>
        </w:rPr>
        <w:t>periodicidade previamente definida entre as partes, acompanhado da pertinente documentação sobre a evolução</w:t>
      </w:r>
      <w:r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57550A">
        <w:rPr>
          <w:rFonts w:ascii="Bookman Old Style" w:eastAsia="Yu Mincho" w:hAnsi="Bookman Old Style" w:cs="Cambria"/>
          <w:sz w:val="20"/>
          <w:szCs w:val="20"/>
        </w:rPr>
        <w:t>das obras e/ou serviços, resumindo todas as análises e acompanhamentos realizados no período.</w:t>
      </w:r>
    </w:p>
    <w:p w:rsidR="0057550A" w:rsidRPr="0057550A" w:rsidRDefault="0057550A" w:rsidP="0057550A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57550A">
        <w:rPr>
          <w:rFonts w:ascii="Bookman Old Style" w:eastAsia="Yu Mincho" w:hAnsi="Bookman Old Style" w:cs="Cambria"/>
          <w:sz w:val="20"/>
          <w:szCs w:val="20"/>
        </w:rPr>
        <w:t>No caso de serviço de Acompanhamento, informar ao CONTRATANTE toda e qualquer impropriedade e/ou</w:t>
      </w:r>
      <w:r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57550A">
        <w:rPr>
          <w:rFonts w:ascii="Bookman Old Style" w:eastAsia="Yu Mincho" w:hAnsi="Bookman Old Style" w:cs="Cambria"/>
          <w:sz w:val="20"/>
          <w:szCs w:val="20"/>
        </w:rPr>
        <w:t>irregularidade que puder ser constatada durante as vistorias de acompanhamento, podendo sugerir as correções</w:t>
      </w:r>
      <w:r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57550A">
        <w:rPr>
          <w:rFonts w:ascii="Bookman Old Style" w:eastAsia="Yu Mincho" w:hAnsi="Bookman Old Style" w:cs="Cambria"/>
          <w:sz w:val="20"/>
          <w:szCs w:val="20"/>
        </w:rPr>
        <w:t>necessárias para o fiel cumprimento das intervenções no âmbito do projeto de que trata a Cláusula Primeira, sendo</w:t>
      </w:r>
      <w:r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57550A">
        <w:rPr>
          <w:rFonts w:ascii="Bookman Old Style" w:eastAsia="Yu Mincho" w:hAnsi="Bookman Old Style" w:cs="Cambria"/>
          <w:sz w:val="20"/>
          <w:szCs w:val="20"/>
        </w:rPr>
        <w:t>de responsabilidade exclusiva do CONTRATANTE adotar as providências cabíveis.</w:t>
      </w:r>
    </w:p>
    <w:p w:rsidR="00D30F9C" w:rsidRPr="007425F0" w:rsidRDefault="00D30F9C" w:rsidP="00D30F9C">
      <w:pPr>
        <w:tabs>
          <w:tab w:val="left" w:pos="708"/>
        </w:tabs>
        <w:spacing w:before="120" w:after="0" w:line="240" w:lineRule="auto"/>
        <w:jc w:val="both"/>
        <w:rPr>
          <w:rFonts w:ascii="Bookman Old Style" w:eastAsia="Yu Mincho" w:hAnsi="Bookman Old Style" w:cs="Cambria"/>
          <w:b/>
          <w:sz w:val="20"/>
          <w:szCs w:val="20"/>
        </w:rPr>
      </w:pPr>
    </w:p>
    <w:p w:rsidR="00D30F9C" w:rsidRPr="007425F0" w:rsidRDefault="00D30F9C" w:rsidP="00D30F9C">
      <w:pPr>
        <w:numPr>
          <w:ilvl w:val="0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b/>
          <w:sz w:val="20"/>
          <w:szCs w:val="20"/>
        </w:rPr>
      </w:pPr>
      <w:r w:rsidRPr="007425F0">
        <w:rPr>
          <w:rFonts w:ascii="Bookman Old Style" w:eastAsia="Yu Mincho" w:hAnsi="Bookman Old Style" w:cs="Cambria"/>
          <w:b/>
          <w:sz w:val="20"/>
          <w:szCs w:val="20"/>
        </w:rPr>
        <w:t>CRITÉRIOS DE MEDIÇÃO E DE PAGAMENTO (Art. 6º, inciso XXIII, alínea ‘g’, da Lei nº 14.133/2021).</w:t>
      </w:r>
    </w:p>
    <w:p w:rsidR="0057550A" w:rsidRPr="0057550A" w:rsidRDefault="0057550A" w:rsidP="0057550A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57550A">
        <w:rPr>
          <w:rFonts w:ascii="Bookman Old Style" w:eastAsia="Yu Mincho" w:hAnsi="Bookman Old Style" w:cs="Cambria"/>
          <w:sz w:val="20"/>
          <w:szCs w:val="20"/>
        </w:rPr>
        <w:t>Estima-se o valor global deste Contrato de R$ 161.300,88 (Cento e sessenta e um mil e trezentos reais e oitenta</w:t>
      </w:r>
      <w:r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57550A">
        <w:rPr>
          <w:rFonts w:ascii="Bookman Old Style" w:eastAsia="Yu Mincho" w:hAnsi="Bookman Old Style" w:cs="Cambria"/>
          <w:sz w:val="20"/>
          <w:szCs w:val="20"/>
        </w:rPr>
        <w:t>e oito centavos), conforme especificado no “Anexo II - Detalhamento dos Preços”.</w:t>
      </w:r>
    </w:p>
    <w:p w:rsidR="0057550A" w:rsidRPr="0057550A" w:rsidRDefault="0057550A" w:rsidP="0057550A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57550A">
        <w:rPr>
          <w:rFonts w:ascii="Bookman Old Style" w:eastAsia="Yu Mincho" w:hAnsi="Bookman Old Style" w:cs="Cambria"/>
          <w:sz w:val="20"/>
          <w:szCs w:val="20"/>
        </w:rPr>
        <w:t>Os pagamentos serão realizados pelo CONTRATANTE por serviço, após a prestação de cada serviço pela</w:t>
      </w:r>
      <w:r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57550A">
        <w:rPr>
          <w:rFonts w:ascii="Bookman Old Style" w:eastAsia="Yu Mincho" w:hAnsi="Bookman Old Style" w:cs="Cambria"/>
          <w:sz w:val="20"/>
          <w:szCs w:val="20"/>
        </w:rPr>
        <w:t>CONTRATADA.</w:t>
      </w:r>
    </w:p>
    <w:p w:rsidR="0057550A" w:rsidRPr="0057550A" w:rsidRDefault="0057550A" w:rsidP="0057550A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57550A">
        <w:rPr>
          <w:rFonts w:ascii="Bookman Old Style" w:eastAsia="Yu Mincho" w:hAnsi="Bookman Old Style" w:cs="Cambria"/>
          <w:sz w:val="20"/>
          <w:szCs w:val="20"/>
        </w:rPr>
        <w:t>O prazo para o pagamento da tarifa pelo CONTRATANTE é de até 30 dias corridos a contar do envio, por e-mail,</w:t>
      </w:r>
      <w:r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57550A">
        <w:rPr>
          <w:rFonts w:ascii="Bookman Old Style" w:eastAsia="Yu Mincho" w:hAnsi="Bookman Old Style" w:cs="Cambria"/>
          <w:sz w:val="20"/>
          <w:szCs w:val="20"/>
        </w:rPr>
        <w:t>do Ofício de Cobrança e Guia para o pagamento da tarifa.</w:t>
      </w:r>
    </w:p>
    <w:p w:rsidR="0057550A" w:rsidRPr="00E017A3" w:rsidRDefault="0057550A" w:rsidP="00E017A3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57550A">
        <w:rPr>
          <w:rFonts w:ascii="Bookman Old Style" w:eastAsia="Yu Mincho" w:hAnsi="Bookman Old Style" w:cs="Cambria"/>
          <w:sz w:val="20"/>
          <w:szCs w:val="20"/>
        </w:rPr>
        <w:t>Os pagamentos a serem efetuados em favor da CONTRATADA estão sujeitos à retenção na fonte, quando</w:t>
      </w:r>
      <w:r w:rsidR="00E017A3"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E017A3">
        <w:rPr>
          <w:rFonts w:ascii="Bookman Old Style" w:eastAsia="Yu Mincho" w:hAnsi="Bookman Old Style" w:cs="Cambria"/>
          <w:sz w:val="20"/>
          <w:szCs w:val="20"/>
        </w:rPr>
        <w:t>couber, dos tributos previstos na lei.</w:t>
      </w:r>
    </w:p>
    <w:p w:rsidR="0057550A" w:rsidRPr="00E017A3" w:rsidRDefault="0057550A" w:rsidP="00E017A3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57550A">
        <w:rPr>
          <w:rFonts w:ascii="Bookman Old Style" w:eastAsia="Yu Mincho" w:hAnsi="Bookman Old Style" w:cs="Cambria"/>
          <w:sz w:val="20"/>
          <w:szCs w:val="20"/>
        </w:rPr>
        <w:t>O CONTRATANTE encaminhará à CONTRATADA os comprovantes de pagamento dos serviços e das</w:t>
      </w:r>
      <w:r w:rsidR="00E017A3"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E017A3">
        <w:rPr>
          <w:rFonts w:ascii="Bookman Old Style" w:eastAsia="Yu Mincho" w:hAnsi="Bookman Old Style" w:cs="Cambria"/>
          <w:sz w:val="20"/>
          <w:szCs w:val="20"/>
        </w:rPr>
        <w:t>retenções tributárias e o Comprovante Anual de Rendimentos e de Retenções na Fonte dos Impostos e</w:t>
      </w:r>
      <w:r w:rsidR="00E017A3"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E017A3">
        <w:rPr>
          <w:rFonts w:ascii="Bookman Old Style" w:eastAsia="Yu Mincho" w:hAnsi="Bookman Old Style" w:cs="Cambria"/>
          <w:sz w:val="20"/>
          <w:szCs w:val="20"/>
        </w:rPr>
        <w:t>Contribuições Federais.</w:t>
      </w:r>
    </w:p>
    <w:p w:rsidR="0057550A" w:rsidRPr="00E017A3" w:rsidRDefault="0057550A" w:rsidP="00E017A3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57550A">
        <w:rPr>
          <w:rFonts w:ascii="Bookman Old Style" w:eastAsia="Yu Mincho" w:hAnsi="Bookman Old Style" w:cs="Cambria"/>
          <w:sz w:val="20"/>
          <w:szCs w:val="20"/>
        </w:rPr>
        <w:t>O pagamento apó</w:t>
      </w:r>
      <w:r w:rsidR="00E017A3">
        <w:rPr>
          <w:rFonts w:ascii="Bookman Old Style" w:eastAsia="Yu Mincho" w:hAnsi="Bookman Old Style" w:cs="Cambria"/>
          <w:sz w:val="20"/>
          <w:szCs w:val="20"/>
        </w:rPr>
        <w:t>s o prazo estabelecido no item 7</w:t>
      </w:r>
      <w:r w:rsidRPr="0057550A">
        <w:rPr>
          <w:rFonts w:ascii="Bookman Old Style" w:eastAsia="Yu Mincho" w:hAnsi="Bookman Old Style" w:cs="Cambria"/>
          <w:sz w:val="20"/>
          <w:szCs w:val="20"/>
        </w:rPr>
        <w:t>.2 sujeitará o CONTRATANTE ao pagamento de juros de</w:t>
      </w:r>
      <w:r w:rsidR="00E017A3"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E017A3">
        <w:rPr>
          <w:rFonts w:ascii="Bookman Old Style" w:eastAsia="Yu Mincho" w:hAnsi="Bookman Old Style" w:cs="Cambria"/>
          <w:sz w:val="20"/>
          <w:szCs w:val="20"/>
        </w:rPr>
        <w:t>mora de 0,5% (zero vírgula cinco por cento) ao mês, e de atualização mensal do valor cobrado pelo Índice de</w:t>
      </w:r>
      <w:r w:rsidR="00E017A3"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E017A3">
        <w:rPr>
          <w:rFonts w:ascii="Bookman Old Style" w:eastAsia="Yu Mincho" w:hAnsi="Bookman Old Style" w:cs="Cambria"/>
          <w:sz w:val="20"/>
          <w:szCs w:val="20"/>
        </w:rPr>
        <w:t>Preços ao Consumidor Amplo (IPCA), da Fundação Instituto Brasileiro de Geografia e Estatística (IBGE), ou índice</w:t>
      </w:r>
      <w:r w:rsidR="00E017A3"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E017A3">
        <w:rPr>
          <w:rFonts w:ascii="Bookman Old Style" w:eastAsia="Yu Mincho" w:hAnsi="Bookman Old Style" w:cs="Cambria"/>
          <w:sz w:val="20"/>
          <w:szCs w:val="20"/>
        </w:rPr>
        <w:t>oficial que vier a substituí-lo, calculado a partir do 1º dia útil subsequente ao vencimento até a data da efetivação do</w:t>
      </w:r>
      <w:r w:rsidR="00E017A3"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E017A3">
        <w:rPr>
          <w:rFonts w:ascii="Bookman Old Style" w:eastAsia="Yu Mincho" w:hAnsi="Bookman Old Style" w:cs="Cambria"/>
          <w:sz w:val="20"/>
          <w:szCs w:val="20"/>
        </w:rPr>
        <w:t>pagamento, aplicando-se como base o índice do mês anterior ao da cobrança.</w:t>
      </w:r>
    </w:p>
    <w:p w:rsidR="0057550A" w:rsidRPr="00E017A3" w:rsidRDefault="0057550A" w:rsidP="00E017A3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57550A">
        <w:rPr>
          <w:rFonts w:ascii="Bookman Old Style" w:eastAsia="Yu Mincho" w:hAnsi="Bookman Old Style" w:cs="Cambria"/>
          <w:sz w:val="20"/>
          <w:szCs w:val="20"/>
        </w:rPr>
        <w:t>Ocorrendo inadimplência por parte do CONTRATANTE por período superior a 30 (trinta) dias corridos, a contar</w:t>
      </w:r>
      <w:r w:rsidR="00E017A3"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E017A3">
        <w:rPr>
          <w:rFonts w:ascii="Bookman Old Style" w:eastAsia="Yu Mincho" w:hAnsi="Bookman Old Style" w:cs="Cambria"/>
          <w:sz w:val="20"/>
          <w:szCs w:val="20"/>
        </w:rPr>
        <w:t>do vencimento da obrigação, a CONTRATADA notificará o CONTRATANTE para efetuar a quitação do débito</w:t>
      </w:r>
      <w:r w:rsidR="00E017A3"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E017A3">
        <w:rPr>
          <w:rFonts w:ascii="Bookman Old Style" w:eastAsia="Yu Mincho" w:hAnsi="Bookman Old Style" w:cs="Cambria"/>
          <w:sz w:val="20"/>
          <w:szCs w:val="20"/>
        </w:rPr>
        <w:t>devidamente corrigido, no prazo de até 30 (trinta) dias corridos, findo esse prazo a CONTRATADA poderá</w:t>
      </w:r>
      <w:r w:rsidR="00E017A3"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E017A3">
        <w:rPr>
          <w:rFonts w:ascii="Bookman Old Style" w:eastAsia="Yu Mincho" w:hAnsi="Bookman Old Style" w:cs="Cambria"/>
          <w:sz w:val="20"/>
          <w:szCs w:val="20"/>
        </w:rPr>
        <w:t>suspender a execução de todos os serviços firmados neste Contrato.</w:t>
      </w:r>
    </w:p>
    <w:p w:rsidR="0057550A" w:rsidRPr="00E017A3" w:rsidRDefault="0057550A" w:rsidP="00E017A3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57550A">
        <w:rPr>
          <w:rFonts w:ascii="Bookman Old Style" w:eastAsia="Yu Mincho" w:hAnsi="Bookman Old Style" w:cs="Cambria"/>
          <w:sz w:val="20"/>
          <w:szCs w:val="20"/>
        </w:rPr>
        <w:t>A prestação dos serviços, pela CONTRATADA, poderá ser encerrada nos atrasos superiores a 60 (sessenta)</w:t>
      </w:r>
      <w:r w:rsidR="00E017A3"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E017A3">
        <w:rPr>
          <w:rFonts w:ascii="Bookman Old Style" w:eastAsia="Yu Mincho" w:hAnsi="Bookman Old Style" w:cs="Cambria"/>
          <w:sz w:val="20"/>
          <w:szCs w:val="20"/>
        </w:rPr>
        <w:t>dias corridos do vencimento da obrigação.</w:t>
      </w:r>
    </w:p>
    <w:p w:rsidR="00D30F9C" w:rsidRDefault="0057550A" w:rsidP="00E017A3">
      <w:pPr>
        <w:numPr>
          <w:ilvl w:val="1"/>
          <w:numId w:val="5"/>
        </w:numPr>
        <w:tabs>
          <w:tab w:val="left" w:pos="708"/>
        </w:tabs>
        <w:spacing w:before="120"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57550A">
        <w:rPr>
          <w:rFonts w:ascii="Bookman Old Style" w:eastAsia="Yu Mincho" w:hAnsi="Bookman Old Style" w:cs="Cambria"/>
          <w:sz w:val="20"/>
          <w:szCs w:val="20"/>
        </w:rPr>
        <w:t>Caso o CONTRATANTE desista do contrato, antes da conclusão de todos os serviços contratados, fica</w:t>
      </w:r>
      <w:r w:rsidR="00E017A3">
        <w:rPr>
          <w:rFonts w:ascii="Bookman Old Style" w:eastAsia="Yu Mincho" w:hAnsi="Bookman Old Style" w:cs="Cambria"/>
          <w:sz w:val="20"/>
          <w:szCs w:val="20"/>
        </w:rPr>
        <w:t xml:space="preserve"> </w:t>
      </w:r>
      <w:r w:rsidRPr="00E017A3">
        <w:rPr>
          <w:rFonts w:ascii="Bookman Old Style" w:eastAsia="Yu Mincho" w:hAnsi="Bookman Old Style" w:cs="Cambria"/>
          <w:sz w:val="20"/>
          <w:szCs w:val="20"/>
        </w:rPr>
        <w:t>obrigado a pagar os serviços já executados à CONTRATADA.</w:t>
      </w:r>
    </w:p>
    <w:p w:rsidR="00E017A3" w:rsidRPr="00E017A3" w:rsidRDefault="00E017A3" w:rsidP="00E017A3">
      <w:pPr>
        <w:tabs>
          <w:tab w:val="left" w:pos="708"/>
        </w:tabs>
        <w:spacing w:before="120" w:after="0" w:line="240" w:lineRule="auto"/>
        <w:ind w:left="360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</w:p>
    <w:p w:rsidR="00D30F9C" w:rsidRPr="007425F0" w:rsidRDefault="00D30F9C" w:rsidP="00D30F9C">
      <w:pPr>
        <w:numPr>
          <w:ilvl w:val="0"/>
          <w:numId w:val="5"/>
        </w:numPr>
        <w:spacing w:after="0" w:line="240" w:lineRule="auto"/>
        <w:contextualSpacing/>
        <w:rPr>
          <w:rFonts w:ascii="Bookman Old Style" w:eastAsia="Yu Mincho" w:hAnsi="Bookman Old Style" w:cs="Cambria"/>
          <w:b/>
          <w:sz w:val="20"/>
          <w:szCs w:val="20"/>
        </w:rPr>
      </w:pPr>
      <w:r w:rsidRPr="007425F0">
        <w:rPr>
          <w:rFonts w:ascii="Bookman Old Style" w:eastAsia="MS Mincho" w:hAnsi="Bookman Old Style" w:cs="Arial"/>
          <w:b/>
          <w:color w:val="000000"/>
          <w:sz w:val="20"/>
          <w:szCs w:val="20"/>
          <w:lang w:eastAsia="pt-BR"/>
        </w:rPr>
        <w:t xml:space="preserve">FORMA E CRITÉRIOS DE SELEÇÃO DO FORNECEDOR </w:t>
      </w:r>
      <w:r w:rsidRPr="007425F0">
        <w:rPr>
          <w:rFonts w:ascii="Bookman Old Style" w:eastAsia="MS Mincho" w:hAnsi="Bookman Old Style" w:cs="Arial"/>
          <w:bCs/>
          <w:color w:val="000000"/>
          <w:sz w:val="20"/>
          <w:szCs w:val="20"/>
        </w:rPr>
        <w:t>(</w:t>
      </w:r>
      <w:r w:rsidRPr="007425F0">
        <w:rPr>
          <w:rFonts w:ascii="Bookman Old Style" w:eastAsia="MS Mincho" w:hAnsi="Bookman Old Style" w:cs="Arial"/>
          <w:b/>
          <w:bCs/>
          <w:color w:val="000000"/>
          <w:sz w:val="20"/>
          <w:szCs w:val="20"/>
        </w:rPr>
        <w:t xml:space="preserve">Art. 6º, inciso XXIII, </w:t>
      </w:r>
      <w:r w:rsidRPr="007425F0">
        <w:rPr>
          <w:rFonts w:ascii="Bookman Old Style" w:eastAsia="MS Mincho" w:hAnsi="Bookman Old Style" w:cs="Arial,Bold"/>
          <w:b/>
          <w:bCs/>
          <w:color w:val="000000"/>
          <w:sz w:val="20"/>
          <w:szCs w:val="20"/>
        </w:rPr>
        <w:t>alínea ‘</w:t>
      </w:r>
      <w:r w:rsidRPr="007425F0">
        <w:rPr>
          <w:rFonts w:ascii="Bookman Old Style" w:eastAsia="MS Mincho" w:hAnsi="Bookman Old Style" w:cs="Arial"/>
          <w:b/>
          <w:bCs/>
          <w:color w:val="000000"/>
          <w:sz w:val="20"/>
          <w:szCs w:val="20"/>
        </w:rPr>
        <w:t>h</w:t>
      </w:r>
      <w:r w:rsidRPr="007425F0">
        <w:rPr>
          <w:rFonts w:ascii="Bookman Old Style" w:eastAsia="MS Mincho" w:hAnsi="Bookman Old Style" w:cs="Arial,Bold"/>
          <w:b/>
          <w:bCs/>
          <w:color w:val="000000"/>
          <w:sz w:val="20"/>
          <w:szCs w:val="20"/>
        </w:rPr>
        <w:t>’</w:t>
      </w:r>
      <w:r w:rsidRPr="007425F0">
        <w:rPr>
          <w:rFonts w:ascii="Bookman Old Style" w:eastAsia="MS Mincho" w:hAnsi="Bookman Old Style" w:cs="Arial"/>
          <w:b/>
          <w:bCs/>
          <w:color w:val="000000"/>
          <w:sz w:val="20"/>
          <w:szCs w:val="20"/>
        </w:rPr>
        <w:t>, da Lei nº 14.133/2021).</w:t>
      </w:r>
    </w:p>
    <w:p w:rsidR="00D30F9C" w:rsidRPr="007425F0" w:rsidRDefault="00D30F9C" w:rsidP="00D30F9C">
      <w:pPr>
        <w:spacing w:after="0" w:line="240" w:lineRule="auto"/>
        <w:rPr>
          <w:rFonts w:ascii="Bookman Old Style" w:eastAsia="Yu Mincho" w:hAnsi="Bookman Old Style" w:cs="Cambria"/>
          <w:b/>
          <w:sz w:val="20"/>
          <w:szCs w:val="20"/>
        </w:rPr>
      </w:pPr>
    </w:p>
    <w:p w:rsidR="00D30F9C" w:rsidRDefault="00D30F9C" w:rsidP="00A840C5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94762C">
        <w:rPr>
          <w:rFonts w:ascii="Bookman Old Style" w:eastAsia="Yu Mincho" w:hAnsi="Bookman Old Style" w:cs="Cambria"/>
          <w:sz w:val="20"/>
          <w:szCs w:val="20"/>
        </w:rPr>
        <w:t xml:space="preserve">Na modalidade de </w:t>
      </w:r>
      <w:r w:rsidRPr="0094762C">
        <w:rPr>
          <w:rFonts w:ascii="Bookman Old Style" w:eastAsia="Yu Mincho" w:hAnsi="Bookman Old Style" w:cs="Cambria"/>
          <w:i/>
          <w:sz w:val="20"/>
          <w:szCs w:val="20"/>
        </w:rPr>
        <w:t>inexigibilidade</w:t>
      </w:r>
      <w:r w:rsidRPr="0094762C">
        <w:rPr>
          <w:rFonts w:ascii="Bookman Old Style" w:eastAsia="Yu Mincho" w:hAnsi="Bookman Old Style" w:cs="Cambria"/>
          <w:sz w:val="20"/>
          <w:szCs w:val="20"/>
        </w:rPr>
        <w:t>, a seleção do fornecedor ocorre de maneira específica devido à natureza singular do objeto contratado. A forma e critérios de seleção do fornecedor são geralmente baseados em sua capacidade técnica, experiência e exclusividade em fornecer os bens ou serviços necessários.</w:t>
      </w:r>
    </w:p>
    <w:p w:rsidR="00D30F9C" w:rsidRDefault="00D30F9C" w:rsidP="00A840C5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>
        <w:rPr>
          <w:rFonts w:ascii="Bookman Old Style" w:eastAsia="Yu Mincho" w:hAnsi="Bookman Old Style" w:cs="Cambria"/>
          <w:sz w:val="20"/>
          <w:szCs w:val="20"/>
        </w:rPr>
        <w:t xml:space="preserve">A </w:t>
      </w:r>
      <w:r w:rsidR="00E017A3">
        <w:rPr>
          <w:rFonts w:ascii="Bookman Old Style" w:eastAsia="Yu Mincho" w:hAnsi="Bookman Old Style" w:cs="Cambria"/>
          <w:sz w:val="20"/>
          <w:szCs w:val="20"/>
        </w:rPr>
        <w:t>CAIXA</w:t>
      </w:r>
      <w:r w:rsidRPr="0094762C">
        <w:rPr>
          <w:rFonts w:ascii="Bookman Old Style" w:eastAsia="Yu Mincho" w:hAnsi="Bookman Old Style" w:cs="Cambria"/>
          <w:sz w:val="20"/>
          <w:szCs w:val="20"/>
        </w:rPr>
        <w:t xml:space="preserve"> deve estar em conformidade com todas as leis e normativas aplicáveis à sua operação, garantindo a legalidade e ética em sua atuação.</w:t>
      </w:r>
    </w:p>
    <w:p w:rsidR="00D30F9C" w:rsidRDefault="00D30F9C" w:rsidP="00A840C5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>
        <w:rPr>
          <w:rFonts w:ascii="Bookman Old Style" w:eastAsia="Yu Mincho" w:hAnsi="Bookman Old Style" w:cs="Cambria"/>
          <w:sz w:val="20"/>
          <w:szCs w:val="20"/>
        </w:rPr>
        <w:t xml:space="preserve">A </w:t>
      </w:r>
      <w:r w:rsidR="00E017A3">
        <w:rPr>
          <w:rFonts w:ascii="Bookman Old Style" w:eastAsia="Yu Mincho" w:hAnsi="Bookman Old Style" w:cs="Cambria"/>
          <w:sz w:val="20"/>
          <w:szCs w:val="20"/>
        </w:rPr>
        <w:t>CAIXA</w:t>
      </w:r>
      <w:r w:rsidRPr="0094762C">
        <w:rPr>
          <w:rFonts w:ascii="Bookman Old Style" w:eastAsia="Yu Mincho" w:hAnsi="Bookman Old Style" w:cs="Cambria"/>
          <w:sz w:val="20"/>
          <w:szCs w:val="20"/>
        </w:rPr>
        <w:t xml:space="preserve"> deverá apresentar uma proposta detalhada, incluindo a descrição completa dos serviços a serem prestados, a metodologia de execução e a estrutura de custos.</w:t>
      </w:r>
    </w:p>
    <w:p w:rsidR="00D30F9C" w:rsidRDefault="00D30F9C" w:rsidP="00A840C5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94762C">
        <w:rPr>
          <w:rFonts w:ascii="Bookman Old Style" w:eastAsia="Yu Mincho" w:hAnsi="Bookman Old Style" w:cs="Cambria"/>
          <w:sz w:val="20"/>
          <w:szCs w:val="20"/>
        </w:rPr>
        <w:t>A verificação se o fornecedor atende às especificações técnicas necessárias para a realização do objeto do contrato.</w:t>
      </w:r>
    </w:p>
    <w:p w:rsidR="00D30F9C" w:rsidRDefault="00D30F9C" w:rsidP="00D30F9C">
      <w:pPr>
        <w:spacing w:after="0" w:line="240" w:lineRule="auto"/>
        <w:ind w:left="720"/>
        <w:contextualSpacing/>
        <w:rPr>
          <w:rFonts w:ascii="Bookman Old Style" w:eastAsia="Yu Mincho" w:hAnsi="Bookman Old Style" w:cs="Cambria"/>
          <w:sz w:val="20"/>
          <w:szCs w:val="20"/>
        </w:rPr>
      </w:pPr>
    </w:p>
    <w:p w:rsidR="00D30F9C" w:rsidRPr="00E017A3" w:rsidRDefault="00D30F9C" w:rsidP="00A840C5">
      <w:pPr>
        <w:spacing w:after="0" w:line="240" w:lineRule="auto"/>
        <w:contextualSpacing/>
        <w:jc w:val="both"/>
        <w:rPr>
          <w:rFonts w:ascii="Bookman Old Style" w:eastAsia="Yu Mincho" w:hAnsi="Bookman Old Style" w:cs="Cambria"/>
          <w:sz w:val="20"/>
          <w:szCs w:val="20"/>
        </w:rPr>
      </w:pPr>
      <w:r w:rsidRPr="0094762C">
        <w:rPr>
          <w:rFonts w:ascii="Bookman Old Style" w:eastAsia="Yu Mincho" w:hAnsi="Bookman Old Style" w:cs="Cambria"/>
          <w:sz w:val="20"/>
          <w:szCs w:val="20"/>
        </w:rPr>
        <w:t>Esses critérios são estabelecidos com base na singularidade do objeto e visam garantir a contratação da melhor opção, levando em consideração a especificidade da inexigibilidade no processo de seleção de fornecedores.</w:t>
      </w:r>
    </w:p>
    <w:p w:rsidR="00D30F9C" w:rsidRPr="007425F0" w:rsidRDefault="00D30F9C" w:rsidP="00D30F9C">
      <w:pPr>
        <w:spacing w:after="0" w:line="240" w:lineRule="auto"/>
        <w:rPr>
          <w:rFonts w:ascii="Bookman Old Style" w:eastAsia="Yu Mincho" w:hAnsi="Bookman Old Style" w:cs="Cambria"/>
          <w:sz w:val="20"/>
          <w:szCs w:val="20"/>
        </w:rPr>
      </w:pPr>
    </w:p>
    <w:p w:rsidR="00D30F9C" w:rsidRPr="00DE2825" w:rsidRDefault="00D30F9C" w:rsidP="00D30F9C">
      <w:pPr>
        <w:numPr>
          <w:ilvl w:val="0"/>
          <w:numId w:val="5"/>
        </w:numPr>
        <w:spacing w:before="120" w:afterLines="120" w:after="288" w:line="240" w:lineRule="auto"/>
        <w:contextualSpacing/>
        <w:jc w:val="both"/>
        <w:rPr>
          <w:rFonts w:ascii="Bookman Old Style" w:eastAsia="MS Mincho" w:hAnsi="Bookman Old Style" w:cs="Arial"/>
          <w:b/>
          <w:bCs/>
          <w:sz w:val="20"/>
          <w:szCs w:val="20"/>
        </w:rPr>
      </w:pPr>
      <w:r w:rsidRPr="007425F0">
        <w:rPr>
          <w:rFonts w:ascii="Bookman Old Style" w:eastAsia="MS Mincho" w:hAnsi="Bookman Old Style" w:cs="Tahoma"/>
          <w:b/>
          <w:bCs/>
          <w:sz w:val="20"/>
          <w:szCs w:val="20"/>
          <w:lang w:eastAsia="pt-BR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7425F0">
        <w:rPr>
          <w:rFonts w:ascii="Bookman Old Style" w:eastAsia="MS Mincho" w:hAnsi="Bookman Old Style" w:cs="Arial"/>
          <w:bCs/>
          <w:sz w:val="20"/>
          <w:szCs w:val="20"/>
        </w:rPr>
        <w:t>(</w:t>
      </w:r>
      <w:r w:rsidRPr="007425F0">
        <w:rPr>
          <w:rFonts w:ascii="Bookman Old Style" w:eastAsia="MS Mincho" w:hAnsi="Bookman Old Style" w:cs="Arial"/>
          <w:b/>
          <w:bCs/>
          <w:sz w:val="20"/>
          <w:szCs w:val="20"/>
        </w:rPr>
        <w:t xml:space="preserve">Art. 6º, inciso XXIII, </w:t>
      </w:r>
      <w:r w:rsidRPr="007425F0">
        <w:rPr>
          <w:rFonts w:ascii="Bookman Old Style" w:eastAsia="MS Mincho" w:hAnsi="Bookman Old Style" w:cs="Arial,Bold"/>
          <w:b/>
          <w:bCs/>
          <w:sz w:val="20"/>
          <w:szCs w:val="20"/>
        </w:rPr>
        <w:t>alínea ‘</w:t>
      </w:r>
      <w:r w:rsidRPr="007425F0">
        <w:rPr>
          <w:rFonts w:ascii="Bookman Old Style" w:eastAsia="MS Mincho" w:hAnsi="Bookman Old Style" w:cs="Tahoma"/>
          <w:b/>
          <w:bCs/>
          <w:sz w:val="20"/>
          <w:szCs w:val="20"/>
        </w:rPr>
        <w:t>i</w:t>
      </w:r>
      <w:r w:rsidRPr="007425F0">
        <w:rPr>
          <w:rFonts w:ascii="Bookman Old Style" w:eastAsia="MS Mincho" w:hAnsi="Bookman Old Style" w:cs="Arial,Bold"/>
          <w:b/>
          <w:bCs/>
          <w:sz w:val="20"/>
          <w:szCs w:val="20"/>
        </w:rPr>
        <w:t>’</w:t>
      </w:r>
      <w:r w:rsidRPr="007425F0">
        <w:rPr>
          <w:rFonts w:ascii="Bookman Old Style" w:eastAsia="MS Mincho" w:hAnsi="Bookman Old Style" w:cs="Arial"/>
          <w:b/>
          <w:bCs/>
          <w:sz w:val="20"/>
          <w:szCs w:val="20"/>
        </w:rPr>
        <w:t>, da Lei nº 14.133/2021).</w:t>
      </w:r>
    </w:p>
    <w:p w:rsidR="00D30F9C" w:rsidRPr="00E017A3" w:rsidRDefault="00D30F9C" w:rsidP="00E017A3">
      <w:pPr>
        <w:pStyle w:val="PargrafodaLista"/>
        <w:numPr>
          <w:ilvl w:val="1"/>
          <w:numId w:val="5"/>
        </w:numPr>
        <w:spacing w:before="120" w:afterLines="120" w:after="288"/>
        <w:rPr>
          <w:rFonts w:ascii="Bookman Old Style" w:eastAsia="Times New Roman" w:hAnsi="Bookman Old Style" w:cs="Times New Roman"/>
          <w:b/>
          <w:bCs/>
          <w:sz w:val="20"/>
          <w:szCs w:val="20"/>
          <w:lang w:eastAsia="pt-BR"/>
        </w:rPr>
      </w:pPr>
      <w:r>
        <w:rPr>
          <w:rFonts w:ascii="Bookman Old Style" w:eastAsia="Times New Roman" w:hAnsi="Bookman Old Style" w:cs="Times New Roman"/>
          <w:bCs/>
          <w:sz w:val="20"/>
          <w:szCs w:val="20"/>
          <w:lang w:eastAsia="pt-BR"/>
        </w:rPr>
        <w:t>O valor</w:t>
      </w:r>
      <w:r w:rsidRPr="007858A5">
        <w:rPr>
          <w:rFonts w:ascii="Bookman Old Style" w:eastAsia="Times New Roman" w:hAnsi="Bookman Old Style" w:cs="Times New Roman"/>
          <w:bCs/>
          <w:sz w:val="20"/>
          <w:szCs w:val="20"/>
          <w:lang w:eastAsia="pt-BR"/>
        </w:rPr>
        <w:t xml:space="preserve"> total da</w:t>
      </w:r>
      <w:r>
        <w:rPr>
          <w:rFonts w:ascii="Bookman Old Style" w:eastAsia="Times New Roman" w:hAnsi="Bookman Old Style" w:cs="Times New Roman"/>
          <w:bCs/>
          <w:sz w:val="20"/>
          <w:szCs w:val="20"/>
          <w:lang w:eastAsia="pt-BR"/>
        </w:rPr>
        <w:t xml:space="preserve"> contratação é de </w:t>
      </w:r>
      <w:r w:rsidRPr="00DE2825">
        <w:rPr>
          <w:rFonts w:ascii="Bookman Old Style" w:eastAsia="Times New Roman" w:hAnsi="Bookman Old Style" w:cs="Times New Roman"/>
          <w:b/>
          <w:bCs/>
          <w:sz w:val="20"/>
          <w:szCs w:val="20"/>
          <w:lang w:eastAsia="pt-BR"/>
        </w:rPr>
        <w:t xml:space="preserve">R$ </w:t>
      </w:r>
      <w:r w:rsidR="00E017A3" w:rsidRPr="00E017A3">
        <w:rPr>
          <w:rFonts w:ascii="Bookman Old Style" w:eastAsia="Times New Roman" w:hAnsi="Bookman Old Style" w:cs="Times New Roman"/>
          <w:b/>
          <w:bCs/>
          <w:sz w:val="20"/>
          <w:szCs w:val="20"/>
          <w:lang w:val="pt-BR" w:eastAsia="pt-BR"/>
        </w:rPr>
        <w:t>161.300,88 (Cento e Sessenta e Um Mil e Trezentos Reais e Oitenta e Oito Centavos).</w:t>
      </w:r>
    </w:p>
    <w:p w:rsidR="00D30F9C" w:rsidRPr="007425F0" w:rsidRDefault="00D30F9C" w:rsidP="00D30F9C">
      <w:pPr>
        <w:numPr>
          <w:ilvl w:val="1"/>
          <w:numId w:val="5"/>
        </w:numPr>
        <w:spacing w:before="100" w:beforeAutospacing="1" w:after="0" w:line="240" w:lineRule="auto"/>
        <w:ind w:right="284"/>
        <w:contextualSpacing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t-BR"/>
        </w:rPr>
      </w:pPr>
      <w:r w:rsidRPr="007425F0">
        <w:rPr>
          <w:rFonts w:ascii="Bookman Old Style" w:eastAsia="Times New Roman" w:hAnsi="Bookman Old Style" w:cs="Times New Roman"/>
          <w:bCs/>
          <w:sz w:val="20"/>
          <w:szCs w:val="20"/>
          <w:lang w:eastAsia="pt-BR"/>
        </w:rPr>
        <w:t>No preço ofertado deverão estar inclusas todas as despesas, bem como todos os tributos, fretes, seguros e demais encargos necessários à completa execução do objeto.</w:t>
      </w:r>
    </w:p>
    <w:p w:rsidR="00D30F9C" w:rsidRPr="007425F0" w:rsidRDefault="00D30F9C" w:rsidP="00D30F9C">
      <w:pPr>
        <w:spacing w:before="100" w:beforeAutospacing="1" w:after="0" w:line="240" w:lineRule="auto"/>
        <w:ind w:right="284"/>
        <w:contextualSpacing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t-BR"/>
        </w:rPr>
      </w:pPr>
    </w:p>
    <w:p w:rsidR="00D30F9C" w:rsidRPr="007425F0" w:rsidRDefault="00D30F9C" w:rsidP="00D30F9C">
      <w:pPr>
        <w:numPr>
          <w:ilvl w:val="0"/>
          <w:numId w:val="5"/>
        </w:numPr>
        <w:spacing w:before="100" w:beforeAutospacing="1" w:after="0" w:line="240" w:lineRule="auto"/>
        <w:ind w:right="284"/>
        <w:contextualSpacing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t-BR"/>
        </w:rPr>
      </w:pPr>
      <w:r w:rsidRPr="007425F0">
        <w:rPr>
          <w:rFonts w:ascii="Bookman Old Style" w:eastAsia="Arial" w:hAnsi="Bookman Old Style" w:cs="Arial"/>
          <w:b/>
          <w:iCs/>
          <w:sz w:val="20"/>
          <w:szCs w:val="20"/>
          <w:lang w:eastAsia="pt-BR"/>
        </w:rPr>
        <w:t xml:space="preserve">ADEQUAÇÃO ORÇAMENTÁRIA (Art. 6º, inciso XXIII, alínea ‘j’, da Lei nº 14.133/2021). </w:t>
      </w:r>
    </w:p>
    <w:p w:rsidR="00D30F9C" w:rsidRPr="007425F0" w:rsidRDefault="00D30F9C" w:rsidP="00D30F9C">
      <w:pPr>
        <w:spacing w:before="120" w:afterLines="120" w:after="288" w:line="240" w:lineRule="auto"/>
        <w:jc w:val="both"/>
        <w:rPr>
          <w:rFonts w:ascii="Bookman Old Style" w:eastAsia="Arial" w:hAnsi="Bookman Old Style" w:cs="Arial"/>
          <w:iCs/>
          <w:sz w:val="20"/>
          <w:szCs w:val="20"/>
          <w:lang w:eastAsia="pt-BR"/>
        </w:rPr>
      </w:pPr>
      <w:r w:rsidRPr="007425F0">
        <w:rPr>
          <w:rFonts w:ascii="Bookman Old Style" w:eastAsia="Arial" w:hAnsi="Bookman Old Style" w:cs="Arial"/>
          <w:iCs/>
          <w:sz w:val="20"/>
          <w:szCs w:val="20"/>
          <w:lang w:eastAsia="pt-BR"/>
        </w:rPr>
        <w:t>As informações contábeis acerca da referida contratação serão anexadas ao processo pertinente durante a conclusão da fase interna pelo Departamento de Licitações, juntamente com a Secretaria Municipal de Contabilidade e Finanças.</w:t>
      </w:r>
    </w:p>
    <w:p w:rsidR="00D30F9C" w:rsidRPr="007425F0" w:rsidRDefault="00D30F9C" w:rsidP="00D30F9C">
      <w:pPr>
        <w:spacing w:after="0" w:line="240" w:lineRule="auto"/>
        <w:rPr>
          <w:rFonts w:ascii="Bookman Old Style" w:eastAsia="Yu Mincho" w:hAnsi="Bookman Old Style" w:cs="Cambria"/>
          <w:sz w:val="20"/>
          <w:szCs w:val="20"/>
        </w:rPr>
      </w:pPr>
    </w:p>
    <w:p w:rsidR="00D30F9C" w:rsidRPr="007425F0" w:rsidRDefault="00D30F9C" w:rsidP="00D30F9C">
      <w:pPr>
        <w:spacing w:after="0" w:line="240" w:lineRule="auto"/>
        <w:rPr>
          <w:rFonts w:ascii="Bookman Old Style" w:eastAsia="Yu Mincho" w:hAnsi="Bookman Old Style" w:cs="Cambria"/>
          <w:sz w:val="20"/>
          <w:szCs w:val="20"/>
        </w:rPr>
      </w:pPr>
    </w:p>
    <w:p w:rsidR="00D30F9C" w:rsidRDefault="00D30F9C" w:rsidP="00D30F9C">
      <w:pPr>
        <w:spacing w:before="120" w:afterLines="120" w:after="288" w:line="240" w:lineRule="auto"/>
        <w:jc w:val="center"/>
        <w:rPr>
          <w:rFonts w:ascii="Bookman Old Style" w:eastAsia="MS Mincho" w:hAnsi="Bookman Old Style" w:cs="Arial"/>
          <w:iCs/>
          <w:sz w:val="20"/>
          <w:szCs w:val="20"/>
          <w:lang w:eastAsia="pt-BR"/>
        </w:rPr>
      </w:pPr>
      <w:r w:rsidRPr="007425F0">
        <w:rPr>
          <w:rFonts w:ascii="Bookman Old Style" w:eastAsia="MS Mincho" w:hAnsi="Bookman Old Style" w:cs="Arial"/>
          <w:iCs/>
          <w:sz w:val="20"/>
          <w:szCs w:val="20"/>
          <w:lang w:eastAsia="pt-BR"/>
        </w:rPr>
        <w:t>Sant</w:t>
      </w:r>
      <w:r w:rsidR="00E017A3">
        <w:rPr>
          <w:rFonts w:ascii="Bookman Old Style" w:eastAsia="MS Mincho" w:hAnsi="Bookman Old Style" w:cs="Arial"/>
          <w:iCs/>
          <w:sz w:val="20"/>
          <w:szCs w:val="20"/>
          <w:lang w:eastAsia="pt-BR"/>
        </w:rPr>
        <w:t>o Antonio do Sudoeste-Paraná, 08</w:t>
      </w:r>
      <w:r w:rsidRPr="007425F0">
        <w:rPr>
          <w:rFonts w:ascii="Bookman Old Style" w:eastAsia="MS Mincho" w:hAnsi="Bookman Old Style" w:cs="Arial"/>
          <w:iCs/>
          <w:sz w:val="20"/>
          <w:szCs w:val="20"/>
          <w:lang w:eastAsia="pt-BR"/>
        </w:rPr>
        <w:t xml:space="preserve"> de</w:t>
      </w:r>
      <w:r w:rsidR="00E017A3">
        <w:rPr>
          <w:rFonts w:ascii="Bookman Old Style" w:eastAsia="MS Mincho" w:hAnsi="Bookman Old Style" w:cs="Arial"/>
          <w:iCs/>
          <w:sz w:val="20"/>
          <w:szCs w:val="20"/>
          <w:lang w:eastAsia="pt-BR"/>
        </w:rPr>
        <w:t xml:space="preserve"> abril</w:t>
      </w:r>
      <w:r>
        <w:rPr>
          <w:rFonts w:ascii="Bookman Old Style" w:eastAsia="MS Mincho" w:hAnsi="Bookman Old Style" w:cs="Arial"/>
          <w:iCs/>
          <w:sz w:val="20"/>
          <w:szCs w:val="20"/>
          <w:lang w:eastAsia="pt-BR"/>
        </w:rPr>
        <w:t xml:space="preserve"> de 2024</w:t>
      </w:r>
      <w:r w:rsidRPr="007425F0">
        <w:rPr>
          <w:rFonts w:ascii="Bookman Old Style" w:eastAsia="MS Mincho" w:hAnsi="Bookman Old Style" w:cs="Arial"/>
          <w:iCs/>
          <w:sz w:val="20"/>
          <w:szCs w:val="20"/>
          <w:lang w:eastAsia="pt-BR"/>
        </w:rPr>
        <w:t>.</w:t>
      </w:r>
    </w:p>
    <w:p w:rsidR="00A840C5" w:rsidRPr="007425F0" w:rsidRDefault="00A840C5" w:rsidP="00D30F9C">
      <w:pPr>
        <w:spacing w:before="120" w:afterLines="120" w:after="288" w:line="240" w:lineRule="auto"/>
        <w:jc w:val="center"/>
        <w:rPr>
          <w:rFonts w:ascii="Bookman Old Style" w:eastAsia="MS Mincho" w:hAnsi="Bookman Old Style" w:cs="Arial"/>
          <w:iCs/>
          <w:sz w:val="20"/>
          <w:szCs w:val="20"/>
          <w:lang w:eastAsia="pt-BR"/>
        </w:rPr>
      </w:pPr>
    </w:p>
    <w:p w:rsidR="00D30F9C" w:rsidRPr="007425F0" w:rsidRDefault="00D30F9C" w:rsidP="00D30F9C">
      <w:pPr>
        <w:spacing w:after="0" w:line="240" w:lineRule="auto"/>
        <w:rPr>
          <w:rFonts w:ascii="Bookman Old Style" w:eastAsia="Yu Mincho" w:hAnsi="Bookman Old Style" w:cs="Cambria"/>
          <w:sz w:val="20"/>
          <w:szCs w:val="20"/>
        </w:rPr>
      </w:pPr>
    </w:p>
    <w:p w:rsidR="00D30F9C" w:rsidRPr="007425F0" w:rsidRDefault="00D30F9C" w:rsidP="00D30F9C">
      <w:pPr>
        <w:spacing w:after="0" w:line="240" w:lineRule="auto"/>
        <w:rPr>
          <w:rFonts w:ascii="Bookman Old Style" w:eastAsia="Yu Mincho" w:hAnsi="Bookman Old Style" w:cs="Cambria"/>
          <w:sz w:val="20"/>
          <w:szCs w:val="20"/>
        </w:rPr>
      </w:pPr>
    </w:p>
    <w:p w:rsidR="00D30F9C" w:rsidRPr="007425F0" w:rsidRDefault="001619B0" w:rsidP="00D30F9C">
      <w:pPr>
        <w:spacing w:after="0" w:line="240" w:lineRule="auto"/>
        <w:jc w:val="center"/>
        <w:rPr>
          <w:rFonts w:ascii="Bookman Old Style" w:eastAsia="Yu Mincho" w:hAnsi="Bookman Old Style" w:cs="Cambria"/>
          <w:sz w:val="20"/>
          <w:szCs w:val="20"/>
        </w:rPr>
      </w:pPr>
      <w:r>
        <w:rPr>
          <w:rFonts w:ascii="Bookman Old Style" w:eastAsia="Yu Mincho" w:hAnsi="Bookman Old Style" w:cs="Cambria"/>
          <w:sz w:val="20"/>
          <w:szCs w:val="20"/>
        </w:rPr>
        <w:t>___________________________________________________</w:t>
      </w:r>
      <w:bookmarkStart w:id="0" w:name="_GoBack"/>
      <w:bookmarkEnd w:id="0"/>
    </w:p>
    <w:p w:rsidR="001619B0" w:rsidRDefault="001619B0" w:rsidP="00D30F9C">
      <w:pPr>
        <w:spacing w:after="0" w:line="240" w:lineRule="auto"/>
        <w:jc w:val="center"/>
        <w:rPr>
          <w:rFonts w:ascii="Bookman Old Style" w:eastAsia="Yu Mincho" w:hAnsi="Bookman Old Style" w:cs="Cambria"/>
          <w:b/>
          <w:sz w:val="20"/>
          <w:szCs w:val="20"/>
        </w:rPr>
      </w:pPr>
      <w:r w:rsidRPr="001619B0">
        <w:rPr>
          <w:rFonts w:ascii="Bookman Old Style" w:eastAsia="Yu Mincho" w:hAnsi="Bookman Old Style" w:cs="Cambria"/>
          <w:b/>
          <w:sz w:val="20"/>
          <w:szCs w:val="20"/>
        </w:rPr>
        <w:t>JAQUELINE DA LUZ WISNIEWSKI DA SILVA</w:t>
      </w:r>
    </w:p>
    <w:p w:rsidR="00D30F9C" w:rsidRPr="00DE2825" w:rsidRDefault="00E017A3" w:rsidP="00D30F9C">
      <w:pPr>
        <w:spacing w:after="0" w:line="240" w:lineRule="auto"/>
        <w:jc w:val="center"/>
        <w:rPr>
          <w:rFonts w:ascii="Bookman Old Style" w:eastAsia="Arial" w:hAnsi="Bookman Old Style" w:cs="Arial"/>
          <w:b/>
          <w:sz w:val="20"/>
          <w:szCs w:val="20"/>
          <w:lang w:eastAsia="pt-BR"/>
        </w:rPr>
      </w:pPr>
      <w:r>
        <w:rPr>
          <w:rFonts w:ascii="Bookman Old Style" w:eastAsia="Yu Mincho" w:hAnsi="Bookman Old Style" w:cs="Cambria"/>
          <w:b/>
          <w:sz w:val="20"/>
          <w:szCs w:val="20"/>
        </w:rPr>
        <w:t>A</w:t>
      </w:r>
      <w:r w:rsidR="001619B0">
        <w:rPr>
          <w:rFonts w:ascii="Bookman Old Style" w:eastAsia="Yu Mincho" w:hAnsi="Bookman Old Style" w:cs="Cambria"/>
          <w:b/>
          <w:sz w:val="20"/>
          <w:szCs w:val="20"/>
        </w:rPr>
        <w:t>gente de Contratação</w:t>
      </w:r>
    </w:p>
    <w:p w:rsidR="00D30F9C" w:rsidRDefault="00D30F9C" w:rsidP="00D30F9C"/>
    <w:p w:rsidR="006B0418" w:rsidRDefault="006B0418"/>
    <w:sectPr w:rsidR="006B0418" w:rsidSect="00717B9D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6F0" w:rsidRDefault="00A840C5">
      <w:pPr>
        <w:spacing w:after="0" w:line="240" w:lineRule="auto"/>
      </w:pPr>
      <w:r>
        <w:separator/>
      </w:r>
    </w:p>
  </w:endnote>
  <w:endnote w:type="continuationSeparator" w:id="0">
    <w:p w:rsidR="00A266F0" w:rsidRDefault="00A8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6F0" w:rsidRDefault="00A840C5">
      <w:pPr>
        <w:spacing w:after="0" w:line="240" w:lineRule="auto"/>
      </w:pPr>
      <w:r>
        <w:separator/>
      </w:r>
    </w:p>
  </w:footnote>
  <w:footnote w:type="continuationSeparator" w:id="0">
    <w:p w:rsidR="00A266F0" w:rsidRDefault="00A8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35" w:rsidRDefault="00C0011E" w:rsidP="006A33C6">
    <w:pPr>
      <w:spacing w:after="0" w:line="240" w:lineRule="auto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 wp14:anchorId="7F966E16" wp14:editId="490A365B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3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202735" w:rsidRDefault="00C0011E" w:rsidP="006A33C6">
    <w:pPr>
      <w:spacing w:after="0" w:line="240" w:lineRule="auto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202735" w:rsidRDefault="00C0011E" w:rsidP="006A33C6">
    <w:pPr>
      <w:spacing w:after="0" w:line="240" w:lineRule="auto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202735" w:rsidRDefault="00C0011E" w:rsidP="006A33C6">
    <w:pPr>
      <w:spacing w:after="0" w:line="240" w:lineRule="auto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202735" w:rsidRDefault="00C0011E" w:rsidP="006A33C6">
    <w:pPr>
      <w:spacing w:after="0" w:line="240" w:lineRule="auto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:rsidR="00202735" w:rsidRDefault="001619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4E06"/>
    <w:multiLevelType w:val="multilevel"/>
    <w:tmpl w:val="11148DD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F473CC"/>
    <w:multiLevelType w:val="multilevel"/>
    <w:tmpl w:val="42C0505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B2E1032"/>
    <w:multiLevelType w:val="multilevel"/>
    <w:tmpl w:val="FF7495D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4">
    <w:nsid w:val="49DD6EDD"/>
    <w:multiLevelType w:val="multilevel"/>
    <w:tmpl w:val="D18093F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4E78168A"/>
    <w:multiLevelType w:val="multilevel"/>
    <w:tmpl w:val="C5EA3C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2B0903"/>
    <w:multiLevelType w:val="multilevel"/>
    <w:tmpl w:val="78BAE4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78220A7"/>
    <w:multiLevelType w:val="multilevel"/>
    <w:tmpl w:val="089813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9C"/>
    <w:rsid w:val="00124FDC"/>
    <w:rsid w:val="001619B0"/>
    <w:rsid w:val="0057550A"/>
    <w:rsid w:val="00627E50"/>
    <w:rsid w:val="006B0418"/>
    <w:rsid w:val="00A266F0"/>
    <w:rsid w:val="00A6063B"/>
    <w:rsid w:val="00A840C5"/>
    <w:rsid w:val="00C0011E"/>
    <w:rsid w:val="00D30F9C"/>
    <w:rsid w:val="00D82845"/>
    <w:rsid w:val="00E0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86F40-55F1-473C-95C3-DB1385DB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9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0F9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30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F9C"/>
  </w:style>
  <w:style w:type="paragraph" w:customStyle="1" w:styleId="ParagraphStyle">
    <w:name w:val="Paragraph Style"/>
    <w:rsid w:val="00D3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24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aformamaisbrasil.gov.br/legislacao/instrucoe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2949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3</cp:revision>
  <dcterms:created xsi:type="dcterms:W3CDTF">2024-04-08T16:36:00Z</dcterms:created>
  <dcterms:modified xsi:type="dcterms:W3CDTF">2024-04-08T18:38:00Z</dcterms:modified>
</cp:coreProperties>
</file>