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B7" w:rsidRPr="00356864" w:rsidRDefault="003F75B7" w:rsidP="003F75B7">
      <w:pPr>
        <w:widowControl/>
        <w:jc w:val="center"/>
        <w:rPr>
          <w:rFonts w:ascii="Bookman Old Style" w:hAnsi="Bookman Old Style"/>
          <w:sz w:val="22"/>
        </w:rPr>
      </w:pPr>
      <w:r w:rsidRPr="00356864">
        <w:rPr>
          <w:rFonts w:ascii="Bookman Old Style" w:eastAsia="Bookman Old Style" w:hAnsi="Bookman Old Style" w:cs="Bookman Old Style"/>
          <w:b/>
          <w:sz w:val="22"/>
        </w:rPr>
        <w:t>TERMO DE CONTRATO – (LEI Nº 14.133/21)</w:t>
      </w:r>
    </w:p>
    <w:p w:rsidR="003F75B7" w:rsidRPr="003F75B7" w:rsidRDefault="003F75B7" w:rsidP="003F75B7">
      <w:pPr>
        <w:widowControl/>
        <w:jc w:val="center"/>
        <w:rPr>
          <w:rFonts w:ascii="Bookman Old Style" w:hAnsi="Bookman Old Style"/>
        </w:rPr>
      </w:pPr>
      <w:r w:rsidRPr="00356864">
        <w:rPr>
          <w:rFonts w:ascii="Bookman Old Style" w:eastAsia="Bookman Old Style" w:hAnsi="Bookman Old Style" w:cs="Bookman Old Style"/>
          <w:b/>
          <w:sz w:val="22"/>
        </w:rPr>
        <w:t>FORNECIMENTO DE BENS</w:t>
      </w:r>
    </w:p>
    <w:p w:rsidR="003F75B7" w:rsidRDefault="003F75B7" w:rsidP="003F75B7">
      <w:pPr>
        <w:widowControl/>
        <w:rPr>
          <w:rFonts w:ascii="Bookman Old Style" w:hAnsi="Bookman Old Style"/>
        </w:rPr>
      </w:pPr>
    </w:p>
    <w:p w:rsidR="00356864" w:rsidRPr="003F75B7" w:rsidRDefault="00356864" w:rsidP="003F75B7">
      <w:pPr>
        <w:widowControl/>
        <w:rPr>
          <w:rFonts w:ascii="Bookman Old Style" w:hAnsi="Bookman Old Style"/>
        </w:rPr>
      </w:pPr>
    </w:p>
    <w:p w:rsidR="003F75B7" w:rsidRDefault="003F75B7" w:rsidP="003F75B7">
      <w:pPr>
        <w:widowControl/>
        <w:ind w:left="2325"/>
        <w:jc w:val="both"/>
        <w:rPr>
          <w:rFonts w:ascii="Bookman Old Style" w:eastAsiaTheme="minorHAnsi" w:hAnsi="Bookman Old Style" w:cs="Bookman Old Style"/>
          <w:b/>
          <w:bCs/>
          <w:lang w:eastAsia="en-US"/>
        </w:rPr>
      </w:pPr>
      <w:r w:rsidRPr="003F75B7">
        <w:rPr>
          <w:rFonts w:ascii="Bookman Old Style" w:eastAsia="Bookman Old Style" w:hAnsi="Bookman Old Style" w:cs="Bookman Old Style"/>
        </w:rPr>
        <w:t>Con</w:t>
      </w:r>
      <w:r>
        <w:rPr>
          <w:rFonts w:ascii="Bookman Old Style" w:eastAsia="Bookman Old Style" w:hAnsi="Bookman Old Style" w:cs="Bookman Old Style"/>
        </w:rPr>
        <w:t xml:space="preserve">trato Administrativo nº </w:t>
      </w:r>
      <w:r w:rsidRPr="003F75B7">
        <w:rPr>
          <w:rFonts w:ascii="Bookman Old Style" w:eastAsia="Bookman Old Style" w:hAnsi="Bookman Old Style" w:cs="Bookman Old Style"/>
          <w:b/>
        </w:rPr>
        <w:t>548</w:t>
      </w:r>
      <w:r w:rsidRPr="003F75B7">
        <w:rPr>
          <w:rFonts w:ascii="Bookman Old Style" w:eastAsia="Bookman Old Style" w:hAnsi="Bookman Old Style" w:cs="Bookman Old Style"/>
          <w:b/>
        </w:rPr>
        <w:t>/2023</w:t>
      </w:r>
      <w:r w:rsidRPr="003F75B7">
        <w:rPr>
          <w:rFonts w:ascii="Bookman Old Style" w:eastAsia="Bookman Old Style" w:hAnsi="Bookman Old Style" w:cs="Bookman Old Style"/>
        </w:rPr>
        <w:t xml:space="preserve"> que fazem entre o Município de Santo Antonio do Sudoeste-Paraná, por inte</w:t>
      </w:r>
      <w:bookmarkStart w:id="0" w:name="_GoBack"/>
      <w:bookmarkEnd w:id="0"/>
      <w:r w:rsidRPr="003F75B7">
        <w:rPr>
          <w:rFonts w:ascii="Bookman Old Style" w:eastAsia="Bookman Old Style" w:hAnsi="Bookman Old Style" w:cs="Bookman Old Style"/>
        </w:rPr>
        <w:t xml:space="preserve">rmédio do (a) </w:t>
      </w:r>
      <w:r w:rsidRPr="003F75B7">
        <w:rPr>
          <w:rFonts w:ascii="Bookman Old Style" w:eastAsia="Bookman Old Style" w:hAnsi="Bookman Old Style" w:cs="Bookman Old Style"/>
          <w:color w:val="000000"/>
        </w:rPr>
        <w:t xml:space="preserve">DEPTO DE ADMINISTRAÇÃO, REC HUMANOS, COMPRAS E PATRIMONIO </w:t>
      </w:r>
      <w:r w:rsidRPr="003F75B7">
        <w:rPr>
          <w:rFonts w:ascii="Bookman Old Style" w:eastAsia="Bookman Old Style" w:hAnsi="Bookman Old Style" w:cs="Bookman Old Style"/>
        </w:rPr>
        <w:t xml:space="preserve">e a empresa </w:t>
      </w:r>
      <w:r>
        <w:rPr>
          <w:rFonts w:ascii="Bookman Old Style" w:eastAsiaTheme="minorHAnsi" w:hAnsi="Bookman Old Style" w:cs="Bookman Old Style"/>
          <w:b/>
          <w:bCs/>
          <w:lang w:val="x-none" w:eastAsia="en-US"/>
        </w:rPr>
        <w:t>M.S COMÉRCIO DE COMBUSTÍVEIS LTDA</w:t>
      </w:r>
      <w:r>
        <w:rPr>
          <w:rFonts w:ascii="Bookman Old Style" w:eastAsiaTheme="minorHAnsi" w:hAnsi="Bookman Old Style" w:cs="Bookman Old Style"/>
          <w:b/>
          <w:bCs/>
          <w:lang w:eastAsia="en-US"/>
        </w:rPr>
        <w:t>.</w:t>
      </w:r>
    </w:p>
    <w:p w:rsidR="00356864" w:rsidRPr="003F75B7" w:rsidRDefault="00356864" w:rsidP="003F75B7">
      <w:pPr>
        <w:widowControl/>
        <w:ind w:left="2325"/>
        <w:jc w:val="both"/>
        <w:rPr>
          <w:rFonts w:ascii="Bookman Old Style" w:hAnsi="Bookman Old Style"/>
        </w:rPr>
      </w:pPr>
    </w:p>
    <w:p w:rsidR="003F75B7" w:rsidRPr="003F75B7" w:rsidRDefault="003F75B7" w:rsidP="003F75B7">
      <w:pPr>
        <w:widowControl/>
        <w:spacing w:before="120" w:after="120"/>
        <w:jc w:val="both"/>
        <w:rPr>
          <w:rFonts w:ascii="Bookman Old Style" w:hAnsi="Bookman Old Style"/>
        </w:rPr>
      </w:pPr>
      <w:r w:rsidRPr="003F75B7">
        <w:rPr>
          <w:rFonts w:ascii="Bookman Old Style" w:eastAsia="Bookman Old Style" w:hAnsi="Bookman Old Style" w:cs="Bookman Old Style"/>
        </w:rPr>
        <w:t>Pelo</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presente</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instrumento</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particular</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que</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firma</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de</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um</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lado,</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o</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MUNICÍPIO</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DE</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SANTO ANTONIO DO SUDOESTE,</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com</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sede</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na</w:t>
      </w:r>
      <w:r w:rsidRPr="003F75B7">
        <w:rPr>
          <w:rFonts w:ascii="Bookman Old Style" w:eastAsia="Bookman Old Style" w:hAnsi="Bookman Old Style" w:cs="Bookman Old Style"/>
          <w:spacing w:val="-1"/>
        </w:rPr>
        <w:t xml:space="preserve"> </w:t>
      </w:r>
      <w:r w:rsidRPr="003F75B7">
        <w:rPr>
          <w:rFonts w:ascii="Bookman Old Style" w:eastAsia="Bookman Old Style" w:hAnsi="Bookman Old Style" w:cs="Bookman Old Style"/>
        </w:rPr>
        <w:t xml:space="preserve">Avenida Brasil, 1431, estado do Paraná, inscrito no CNPJ/MF sob o n° 75.927.582/0001-55, neste ato representado pelo Prefeito Municipal, senhor Ricardo Antonio </w:t>
      </w:r>
      <w:proofErr w:type="spellStart"/>
      <w:r w:rsidRPr="003F75B7">
        <w:rPr>
          <w:rFonts w:ascii="Bookman Old Style" w:eastAsia="Bookman Old Style" w:hAnsi="Bookman Old Style" w:cs="Bookman Old Style"/>
        </w:rPr>
        <w:t>Ortina</w:t>
      </w:r>
      <w:proofErr w:type="spellEnd"/>
      <w:r w:rsidRPr="003F75B7">
        <w:rPr>
          <w:rFonts w:ascii="Bookman Old Style" w:eastAsia="Bookman Old Style" w:hAnsi="Bookman Old Style" w:cs="Bookman Old Style"/>
        </w:rPr>
        <w:t xml:space="preserve">, inscrito no CPF sob o nº 020.697.089-77 e abaixo assinado, doravante designado CONTRATANTE, e o(a) </w:t>
      </w:r>
      <w:r>
        <w:rPr>
          <w:rFonts w:ascii="Bookman Old Style" w:eastAsiaTheme="minorHAnsi" w:hAnsi="Bookman Old Style" w:cs="Bookman Old Style"/>
          <w:b/>
          <w:bCs/>
          <w:lang w:val="x-none" w:eastAsia="en-US"/>
        </w:rPr>
        <w:t>M.S COMÉRCIO DE COMBUSTÍVEIS LTDA</w:t>
      </w:r>
      <w:r w:rsidRPr="003F75B7">
        <w:rPr>
          <w:rFonts w:ascii="Bookman Old Style" w:eastAsia="Bookman Old Style" w:hAnsi="Bookman Old Style" w:cs="Bookman Old Style"/>
        </w:rPr>
        <w:t xml:space="preserve"> inscrito(a) no CNPJ/MF sob o nº </w:t>
      </w:r>
      <w:r>
        <w:rPr>
          <w:rFonts w:ascii="Bookman Old Style" w:eastAsiaTheme="minorHAnsi" w:hAnsi="Bookman Old Style" w:cs="Bookman Old Style"/>
          <w:b/>
          <w:bCs/>
          <w:lang w:val="x-none" w:eastAsia="en-US"/>
        </w:rPr>
        <w:t>01.581.445/0001-75</w:t>
      </w:r>
      <w:r w:rsidRPr="003F75B7">
        <w:rPr>
          <w:rFonts w:ascii="Bookman Old Style" w:eastAsia="Bookman Old Style" w:hAnsi="Bookman Old Style" w:cs="Bookman Old Style"/>
        </w:rPr>
        <w:t xml:space="preserve">, sediado(a) na </w:t>
      </w:r>
      <w:r>
        <w:rPr>
          <w:rFonts w:ascii="Bookman Old Style" w:eastAsia="Bookman Old Style" w:hAnsi="Bookman Old Style" w:cs="Bookman Old Style"/>
        </w:rPr>
        <w:t>cidade de SANTO ANTONIO DO SUDOESTE/PR</w:t>
      </w:r>
      <w:r w:rsidRPr="003F75B7">
        <w:rPr>
          <w:rFonts w:ascii="Bookman Old Style" w:eastAsia="Bookman Old Style" w:hAnsi="Bookman Old Style" w:cs="Bookman Old Style"/>
        </w:rPr>
        <w:t xml:space="preserve"> doravante designado CONTRATADO, neste ato representada por </w:t>
      </w:r>
      <w:r>
        <w:rPr>
          <w:rFonts w:ascii="Bookman Old Style" w:hAnsi="Bookman Old Style" w:cs="Bookman Old Style"/>
          <w:b/>
          <w:bCs/>
        </w:rPr>
        <w:t>CLAUDIMAR TARCÍSIO MILANI</w:t>
      </w:r>
      <w:r w:rsidRPr="003F75B7">
        <w:rPr>
          <w:rFonts w:ascii="Bookman Old Style" w:eastAsia="Bookman Old Style" w:hAnsi="Bookman Old Style" w:cs="Bookman Old Style"/>
        </w:rPr>
        <w:t xml:space="preserve"> (</w:t>
      </w:r>
      <w:r>
        <w:rPr>
          <w:rFonts w:ascii="Bookman Old Style" w:eastAsia="Bookman Old Style" w:hAnsi="Bookman Old Style" w:cs="Bookman Old Style"/>
        </w:rPr>
        <w:t>Representante legal</w:t>
      </w:r>
      <w:r w:rsidRPr="003F75B7">
        <w:rPr>
          <w:rFonts w:ascii="Bookman Old Style" w:eastAsia="Bookman Old Style" w:hAnsi="Bookman Old Style" w:cs="Bookman Old Style"/>
        </w:rPr>
        <w:t xml:space="preserve">), conforme atos constitutivos da empresa </w:t>
      </w:r>
      <w:r w:rsidRPr="003F75B7">
        <w:rPr>
          <w:rFonts w:ascii="Bookman Old Style" w:eastAsia="Bookman Old Style" w:hAnsi="Bookman Old Style" w:cs="Bookman Old Style"/>
          <w:b/>
        </w:rPr>
        <w:t>OU</w:t>
      </w:r>
      <w:r w:rsidRPr="003F75B7">
        <w:rPr>
          <w:rFonts w:ascii="Bookman Old Style" w:eastAsia="Bookman Old Style" w:hAnsi="Bookman Old Style" w:cs="Bookman Old Style"/>
        </w:rPr>
        <w:t xml:space="preserve"> procuração apresentada nos autos, tendo em vista o que consta no Processo nº </w:t>
      </w:r>
      <w:r>
        <w:rPr>
          <w:rFonts w:ascii="Bookman Old Style" w:eastAsia="Bookman Old Style" w:hAnsi="Bookman Old Style" w:cs="Bookman Old Style"/>
        </w:rPr>
        <w:t>914</w:t>
      </w:r>
      <w:r w:rsidRPr="003F75B7">
        <w:rPr>
          <w:rFonts w:ascii="Bookman Old Style" w:eastAsia="Bookman Old Style" w:hAnsi="Bookman Old Style" w:cs="Bookman Old Style"/>
        </w:rPr>
        <w:t xml:space="preserve"> e em observância às disposições da Lei nº 14.133, de 2021, resolvem celebrar o presente Termo de Contrato, decorrente </w:t>
      </w:r>
      <w:r w:rsidRPr="003F75B7">
        <w:rPr>
          <w:rFonts w:ascii="Bookman Old Style" w:eastAsia="Bookman Old Style" w:hAnsi="Bookman Old Style" w:cs="Bookman Old Style"/>
          <w:b/>
        </w:rPr>
        <w:t>PREGÃO ELETRÔNICO</w:t>
      </w:r>
      <w:r w:rsidRPr="003F75B7">
        <w:rPr>
          <w:rFonts w:ascii="Bookman Old Style" w:eastAsia="Bookman Old Style" w:hAnsi="Bookman Old Style" w:cs="Bookman Old Style"/>
          <w:b/>
        </w:rPr>
        <w:t xml:space="preserve"> nº</w:t>
      </w:r>
      <w:r w:rsidRPr="003F75B7">
        <w:rPr>
          <w:rFonts w:ascii="Bookman Old Style" w:eastAsia="Bookman Old Style" w:hAnsi="Bookman Old Style" w:cs="Bookman Old Style"/>
        </w:rPr>
        <w:t xml:space="preserve"> </w:t>
      </w:r>
      <w:r w:rsidRPr="003F75B7">
        <w:rPr>
          <w:rFonts w:ascii="Bookman Old Style" w:eastAsia="Bookman Old Style" w:hAnsi="Bookman Old Style" w:cs="Bookman Old Style"/>
          <w:b/>
        </w:rPr>
        <w:t>070/2023</w:t>
      </w:r>
      <w:r w:rsidRPr="003F75B7">
        <w:rPr>
          <w:rFonts w:ascii="Bookman Old Style" w:eastAsia="Bookman Old Style" w:hAnsi="Bookman Old Style" w:cs="Bookman Old Style"/>
        </w:rPr>
        <w:t>, mediante as cláusulas e condições a seguir enunciadas.</w:t>
      </w:r>
    </w:p>
    <w:p w:rsidR="003F75B7" w:rsidRPr="003F75B7" w:rsidRDefault="003F75B7" w:rsidP="003F75B7">
      <w:pPr>
        <w:keepNext/>
        <w:keepLines/>
        <w:widowControl/>
        <w:numPr>
          <w:ilvl w:val="0"/>
          <w:numId w:val="6"/>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color w:val="000000"/>
        </w:rPr>
        <w:t>CLÁUSULA PRIMEIRA – OBJETO (art. 92, I e II)</w:t>
      </w:r>
    </w:p>
    <w:p w:rsidR="003F75B7" w:rsidRPr="003F75B7" w:rsidRDefault="003F75B7" w:rsidP="003F75B7">
      <w:pPr>
        <w:widowControl/>
        <w:jc w:val="both"/>
        <w:rPr>
          <w:rFonts w:ascii="Bookman Old Style" w:hAnsi="Bookman Old Style"/>
        </w:rPr>
      </w:pPr>
      <w:r w:rsidRPr="003F75B7">
        <w:rPr>
          <w:rFonts w:ascii="Bookman Old Style" w:eastAsia="Bookman Old Style" w:hAnsi="Bookman Old Style" w:cs="Bookman Old Style"/>
          <w:color w:val="000000"/>
        </w:rPr>
        <w:t xml:space="preserve">O objeto do presente instrumento é a </w:t>
      </w:r>
      <w:r w:rsidRPr="003F75B7">
        <w:rPr>
          <w:rFonts w:ascii="Bookman Old Style" w:eastAsia="Bookman Old Style" w:hAnsi="Bookman Old Style" w:cs="Bookman Old Style"/>
        </w:rPr>
        <w:t>Aquisição de combustíveis GASOLINA COMUM e ETANOL COMUM, para veículos oficiais da frota municipal</w:t>
      </w:r>
      <w:r w:rsidRPr="003F75B7">
        <w:rPr>
          <w:rFonts w:ascii="Bookman Old Style" w:eastAsia="Times New Roman" w:hAnsi="Bookman Old Style" w:cs="Times New Roman"/>
        </w:rPr>
        <w:t>,</w:t>
      </w:r>
      <w:r w:rsidRPr="003F75B7">
        <w:rPr>
          <w:rFonts w:ascii="Bookman Old Style" w:eastAsia="Bookman Old Style" w:hAnsi="Bookman Old Style" w:cs="Bookman Old Style"/>
        </w:rPr>
        <w:t xml:space="preserve"> conforme quantidades, especificações, exigências e condições estabelecidas neste documento, conforme inciso I do § 1° do art. 18 da Lei nº 14.133, de 2021, conforme especificações, características e quantidades abaixo:</w:t>
      </w:r>
    </w:p>
    <w:p w:rsidR="003F75B7" w:rsidRPr="003F75B7" w:rsidRDefault="003F75B7" w:rsidP="003F75B7">
      <w:pPr>
        <w:widowControl/>
        <w:numPr>
          <w:ilvl w:val="1"/>
          <w:numId w:val="7"/>
        </w:numPr>
        <w:jc w:val="both"/>
        <w:rPr>
          <w:rFonts w:ascii="Bookman Old Style" w:hAnsi="Bookman Old Style"/>
        </w:rPr>
      </w:pPr>
      <w:r w:rsidRPr="003F75B7">
        <w:rPr>
          <w:rFonts w:ascii="Bookman Old Style" w:eastAsia="Bookman Old Style" w:hAnsi="Bookman Old Style" w:cs="Bookman Old Style"/>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38"/>
        <w:gridCol w:w="738"/>
        <w:gridCol w:w="809"/>
        <w:gridCol w:w="2892"/>
        <w:gridCol w:w="1218"/>
        <w:gridCol w:w="913"/>
        <w:gridCol w:w="1066"/>
        <w:gridCol w:w="982"/>
        <w:gridCol w:w="1094"/>
      </w:tblGrid>
      <w:tr w:rsidR="003F75B7" w:rsidRPr="003F75B7" w:rsidTr="00356864">
        <w:tc>
          <w:tcPr>
            <w:tcW w:w="10450" w:type="dxa"/>
            <w:gridSpan w:val="9"/>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ITENS</w:t>
            </w:r>
          </w:p>
        </w:tc>
      </w:tr>
      <w:tr w:rsidR="003F75B7" w:rsidRPr="003F75B7" w:rsidTr="00356864">
        <w:tc>
          <w:tcPr>
            <w:tcW w:w="738"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Lote</w:t>
            </w:r>
          </w:p>
        </w:tc>
        <w:tc>
          <w:tcPr>
            <w:tcW w:w="738"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Item</w:t>
            </w:r>
          </w:p>
        </w:tc>
        <w:tc>
          <w:tcPr>
            <w:tcW w:w="809"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Código do produto/serviço</w:t>
            </w:r>
          </w:p>
        </w:tc>
        <w:tc>
          <w:tcPr>
            <w:tcW w:w="2892"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Descrição do produto/serviço</w:t>
            </w:r>
          </w:p>
        </w:tc>
        <w:tc>
          <w:tcPr>
            <w:tcW w:w="1218"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Marca do produto</w:t>
            </w:r>
          </w:p>
        </w:tc>
        <w:tc>
          <w:tcPr>
            <w:tcW w:w="913"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Unidade de medida</w:t>
            </w:r>
          </w:p>
        </w:tc>
        <w:tc>
          <w:tcPr>
            <w:tcW w:w="1066"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Quantidade</w:t>
            </w:r>
          </w:p>
        </w:tc>
        <w:tc>
          <w:tcPr>
            <w:tcW w:w="982"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Preço unitário</w:t>
            </w:r>
          </w:p>
        </w:tc>
        <w:tc>
          <w:tcPr>
            <w:tcW w:w="1094" w:type="dxa"/>
            <w:tcBorders>
              <w:top w:val="single" w:sz="6" w:space="0" w:color="000000"/>
              <w:left w:val="single" w:sz="6" w:space="0" w:color="000000"/>
              <w:bottom w:val="single" w:sz="6" w:space="0" w:color="000000"/>
              <w:right w:val="single" w:sz="6" w:space="0" w:color="000000"/>
            </w:tcBorders>
            <w:shd w:val="clear" w:color="auto" w:fill="C0C0C0"/>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Preço total</w:t>
            </w:r>
          </w:p>
        </w:tc>
      </w:tr>
      <w:tr w:rsidR="003F75B7" w:rsidRPr="003F75B7" w:rsidTr="00356864">
        <w:tc>
          <w:tcPr>
            <w:tcW w:w="738"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LOTE: 001 - Lote 001</w:t>
            </w:r>
          </w:p>
        </w:tc>
        <w:tc>
          <w:tcPr>
            <w:tcW w:w="738"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1</w:t>
            </w:r>
          </w:p>
        </w:tc>
        <w:tc>
          <w:tcPr>
            <w:tcW w:w="809"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21540</w:t>
            </w:r>
          </w:p>
        </w:tc>
        <w:tc>
          <w:tcPr>
            <w:tcW w:w="2892"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 xml:space="preserve">GASOLINA COMUM  </w:t>
            </w:r>
          </w:p>
        </w:tc>
        <w:tc>
          <w:tcPr>
            <w:tcW w:w="1218"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proofErr w:type="spellStart"/>
            <w:r w:rsidRPr="003F75B7">
              <w:rPr>
                <w:rFonts w:ascii="Bookman Old Style" w:hAnsi="Bookman Old Style"/>
                <w:sz w:val="16"/>
                <w:szCs w:val="20"/>
              </w:rPr>
              <w:t>Rodoil</w:t>
            </w:r>
            <w:proofErr w:type="spellEnd"/>
            <w:r w:rsidRPr="003F75B7">
              <w:rPr>
                <w:rFonts w:ascii="Bookman Old Style" w:hAnsi="Bookman Old Style"/>
                <w:sz w:val="16"/>
                <w:szCs w:val="20"/>
              </w:rPr>
              <w:t xml:space="preserve"> Litro de Gasolina Comum</w:t>
            </w:r>
          </w:p>
        </w:tc>
        <w:tc>
          <w:tcPr>
            <w:tcW w:w="913"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LITRO</w:t>
            </w:r>
          </w:p>
        </w:tc>
        <w:tc>
          <w:tcPr>
            <w:tcW w:w="1066"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160.000,00</w:t>
            </w:r>
          </w:p>
        </w:tc>
        <w:tc>
          <w:tcPr>
            <w:tcW w:w="982"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4,85</w:t>
            </w:r>
          </w:p>
        </w:tc>
        <w:tc>
          <w:tcPr>
            <w:tcW w:w="1094"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776.000,00</w:t>
            </w:r>
          </w:p>
        </w:tc>
      </w:tr>
      <w:tr w:rsidR="003F75B7" w:rsidRPr="003F75B7" w:rsidTr="00356864">
        <w:tc>
          <w:tcPr>
            <w:tcW w:w="738"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LOTE: 002 - Lote 002</w:t>
            </w:r>
          </w:p>
        </w:tc>
        <w:tc>
          <w:tcPr>
            <w:tcW w:w="738"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1</w:t>
            </w:r>
          </w:p>
        </w:tc>
        <w:tc>
          <w:tcPr>
            <w:tcW w:w="809"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23905</w:t>
            </w:r>
          </w:p>
        </w:tc>
        <w:tc>
          <w:tcPr>
            <w:tcW w:w="2892"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 xml:space="preserve">ETANOL COMUM   </w:t>
            </w:r>
          </w:p>
        </w:tc>
        <w:tc>
          <w:tcPr>
            <w:tcW w:w="1218"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proofErr w:type="spellStart"/>
            <w:r w:rsidRPr="003F75B7">
              <w:rPr>
                <w:rFonts w:ascii="Bookman Old Style" w:hAnsi="Bookman Old Style"/>
                <w:sz w:val="16"/>
                <w:szCs w:val="20"/>
              </w:rPr>
              <w:t>Rodoil</w:t>
            </w:r>
            <w:proofErr w:type="spellEnd"/>
            <w:r w:rsidRPr="003F75B7">
              <w:rPr>
                <w:rFonts w:ascii="Bookman Old Style" w:hAnsi="Bookman Old Style"/>
                <w:sz w:val="16"/>
                <w:szCs w:val="20"/>
              </w:rPr>
              <w:t xml:space="preserve"> Litro de Etanol Comum</w:t>
            </w:r>
          </w:p>
        </w:tc>
        <w:tc>
          <w:tcPr>
            <w:tcW w:w="913"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LITRO</w:t>
            </w:r>
          </w:p>
        </w:tc>
        <w:tc>
          <w:tcPr>
            <w:tcW w:w="1066"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55.000,00</w:t>
            </w:r>
          </w:p>
        </w:tc>
        <w:tc>
          <w:tcPr>
            <w:tcW w:w="982"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2,94</w:t>
            </w:r>
          </w:p>
        </w:tc>
        <w:tc>
          <w:tcPr>
            <w:tcW w:w="1094"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sz w:val="16"/>
                <w:szCs w:val="20"/>
              </w:rPr>
            </w:pPr>
            <w:r w:rsidRPr="003F75B7">
              <w:rPr>
                <w:rFonts w:ascii="Bookman Old Style" w:hAnsi="Bookman Old Style"/>
                <w:sz w:val="16"/>
                <w:szCs w:val="20"/>
              </w:rPr>
              <w:t>161.700,00</w:t>
            </w:r>
          </w:p>
        </w:tc>
      </w:tr>
      <w:tr w:rsidR="003F75B7" w:rsidRPr="003F75B7" w:rsidTr="00356864">
        <w:tc>
          <w:tcPr>
            <w:tcW w:w="9356" w:type="dxa"/>
            <w:gridSpan w:val="8"/>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b/>
                <w:sz w:val="16"/>
                <w:szCs w:val="20"/>
              </w:rPr>
            </w:pPr>
            <w:r w:rsidRPr="003F75B7">
              <w:rPr>
                <w:rFonts w:ascii="Bookman Old Style" w:hAnsi="Bookman Old Style"/>
                <w:b/>
                <w:sz w:val="16"/>
                <w:szCs w:val="20"/>
              </w:rPr>
              <w:t>TOTAL</w:t>
            </w:r>
          </w:p>
        </w:tc>
        <w:tc>
          <w:tcPr>
            <w:tcW w:w="1094" w:type="dxa"/>
            <w:tcBorders>
              <w:top w:val="single" w:sz="6" w:space="0" w:color="000000"/>
              <w:left w:val="single" w:sz="6" w:space="0" w:color="000000"/>
              <w:bottom w:val="single" w:sz="6" w:space="0" w:color="000000"/>
              <w:right w:val="single" w:sz="6" w:space="0" w:color="000000"/>
            </w:tcBorders>
          </w:tcPr>
          <w:p w:rsidR="003F75B7" w:rsidRPr="003F75B7" w:rsidRDefault="003F75B7">
            <w:pPr>
              <w:pStyle w:val="ParagraphStyle"/>
              <w:rPr>
                <w:rFonts w:ascii="Bookman Old Style" w:hAnsi="Bookman Old Style"/>
                <w:b/>
                <w:sz w:val="16"/>
                <w:szCs w:val="20"/>
              </w:rPr>
            </w:pPr>
            <w:r w:rsidRPr="003F75B7">
              <w:rPr>
                <w:rFonts w:ascii="Bookman Old Style" w:hAnsi="Bookman Old Style"/>
                <w:b/>
                <w:sz w:val="16"/>
                <w:szCs w:val="20"/>
              </w:rPr>
              <w:t>937.700,00</w:t>
            </w:r>
          </w:p>
        </w:tc>
      </w:tr>
    </w:tbl>
    <w:p w:rsidR="003F75B7" w:rsidRPr="003F75B7" w:rsidRDefault="003F75B7" w:rsidP="003F75B7">
      <w:pPr>
        <w:pStyle w:val="PargrafodaLista"/>
        <w:widowControl/>
        <w:numPr>
          <w:ilvl w:val="1"/>
          <w:numId w:val="7"/>
        </w:numPr>
        <w:spacing w:before="120" w:after="120"/>
        <w:jc w:val="both"/>
        <w:rPr>
          <w:rFonts w:ascii="Bookman Old Style" w:hAnsi="Bookman Old Style"/>
        </w:rPr>
      </w:pPr>
      <w:r w:rsidRPr="003F75B7">
        <w:rPr>
          <w:rFonts w:ascii="Bookman Old Style" w:eastAsia="Bookman Old Style" w:hAnsi="Bookman Old Style" w:cs="Bookman Old Style"/>
        </w:rPr>
        <w:t>São anexos a este instrumento e vinculam está contratação, independentemente de transcrição:</w:t>
      </w:r>
    </w:p>
    <w:p w:rsidR="003F75B7" w:rsidRPr="003F75B7" w:rsidRDefault="003F75B7" w:rsidP="003F75B7">
      <w:pPr>
        <w:widowControl/>
        <w:numPr>
          <w:ilvl w:val="2"/>
          <w:numId w:val="8"/>
        </w:numPr>
        <w:spacing w:before="120" w:after="120"/>
        <w:jc w:val="both"/>
        <w:rPr>
          <w:rFonts w:ascii="Bookman Old Style" w:hAnsi="Bookman Old Style"/>
        </w:rPr>
      </w:pPr>
      <w:r w:rsidRPr="003F75B7">
        <w:rPr>
          <w:rFonts w:ascii="Bookman Old Style" w:eastAsia="Bookman Old Style" w:hAnsi="Bookman Old Style" w:cs="Bookman Old Style"/>
        </w:rPr>
        <w:t>O Termo de Referência que embasou a contratação;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O Edital de Licitação, a Autorização de Contratação Direta;</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A Proposta do Contratado;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Eventuais anexos dos documentos supracitados.</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color w:val="000000"/>
        </w:rPr>
        <w:t>CLÁUSULA SEGUNDA – VIGÊNCIA E PRORROGAÇÃO.</w:t>
      </w:r>
    </w:p>
    <w:p w:rsidR="003F75B7" w:rsidRPr="003F75B7" w:rsidRDefault="003F75B7" w:rsidP="003F75B7">
      <w:pPr>
        <w:widowControl/>
        <w:numPr>
          <w:ilvl w:val="1"/>
          <w:numId w:val="9"/>
        </w:numPr>
        <w:spacing w:before="120" w:after="120"/>
        <w:jc w:val="both"/>
        <w:rPr>
          <w:rFonts w:ascii="Bookman Old Style" w:hAnsi="Bookman Old Style"/>
        </w:rPr>
      </w:pPr>
      <w:r w:rsidRPr="003F75B7">
        <w:rPr>
          <w:rFonts w:ascii="Bookman Old Style" w:eastAsia="Bookman Old Style" w:hAnsi="Bookman Old Style" w:cs="Bookman Old Style"/>
        </w:rPr>
        <w:t>O prazo de vigência da contratação é de 12(Doze) meses contados do(a) assinatura do contrato, prorrogável por até 10 anos, na forma dos artigos 106 e 107 da Lei n° 14.133/2021.</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A prorrogação de que trata este item é condicionada ao ateste, pela autoridade competente, de que as condições e os preços permanecem vantajosos para a Administração, permitida a negociação com o contratado.</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color w:val="000000"/>
        </w:rPr>
        <w:lastRenderedPageBreak/>
        <w:t>CLÁUSULA TERCEIRA – MODELOS DE EXECUÇÃO E GESTÃO CONTRATUAIS (art. 92, IV, VII e XVIII)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O contrato deverá ser executado fielmente pelas partes, de acordo com as cláusulas avençadas e as normas da Lei nº 14.133, de 2021, e cada parte responderá pelas consequências de sua inexecução total ou parcial.</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Em caso de impedimento, ordem de paralisação ou suspensão do contrato, o cronograma de execução será prorrogado automaticamente pelo tempo correspondente, anotadas tais circunstâncias mediante simples apostila.</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As comunicações entre o órgão ou entidade e a contratada devem ser realizadas por escrito sempre que o ato exigir tal formalidade, admitindo-se o uso de mensagem eletrônica para esse fim.</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órgão ou entidade poderá convocar representante da empresa para adoção de providências que devam ser cumpridas de imediato.</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A execução do contrato deverá ser acompanhada e fiscalizada pelo(s) fiscal(</w:t>
      </w:r>
      <w:proofErr w:type="spellStart"/>
      <w:r w:rsidRPr="003F75B7">
        <w:rPr>
          <w:rFonts w:ascii="Bookman Old Style" w:eastAsia="Bookman Old Style" w:hAnsi="Bookman Old Style" w:cs="Bookman Old Style"/>
        </w:rPr>
        <w:t>is</w:t>
      </w:r>
      <w:proofErr w:type="spellEnd"/>
      <w:r w:rsidRPr="003F75B7">
        <w:rPr>
          <w:rFonts w:ascii="Bookman Old Style" w:eastAsia="Bookman Old Style" w:hAnsi="Bookman Old Style" w:cs="Bookman Old Style"/>
        </w:rPr>
        <w:t>) do contrato, ou pelos respectivos substitutos (Lei nº 14.133, de 2021, art. 117, caput).</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fiscal técnico do contrato acompanhará a execução do contrato, para que sejam cumpridas todas as condições estabelecidas no contrato, de modo a assegurar os melhores resultados para a Administração. (Decreto nº 11.246, de 2022, art. 22, VI);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 xml:space="preserve">Identificada qualquer inexatidão ou irregularidade, o fiscal técnico do contrato emitirá notificações para a correção da execução do contrato, determinando prazo para a correção. (Decreto nº 11.246, de 2022, art. 22, III); </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No caso de ocorrências que possam inviabilizar a execução do contrato nas datas aprazadas, o fiscal técnico do contrato comunicará o fato imediatamente ao gestor do contrato. (Decreto nº 11.246, de 2022, art. 22, V).</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fiscal técnico do contrato comunicará ao gestor do contrato, em tempo hábil, o término do contrato sob sua responsabilidade, com vistas à renovação tempestiva ou à prorrogação contratual (Decreto nº 11.246, de 2022, art. 22, VII).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 xml:space="preserve">O fiscal administrativo do contrato verificará a manutenção das condições de habilitação da contratada, acompanhará o empenho, o pagamento, as garantias, as glosas e a formalização de </w:t>
      </w:r>
      <w:proofErr w:type="spellStart"/>
      <w:r w:rsidRPr="003F75B7">
        <w:rPr>
          <w:rFonts w:ascii="Bookman Old Style" w:eastAsia="Bookman Old Style" w:hAnsi="Bookman Old Style" w:cs="Bookman Old Style"/>
        </w:rPr>
        <w:t>apostilamento</w:t>
      </w:r>
      <w:proofErr w:type="spellEnd"/>
      <w:r w:rsidRPr="003F75B7">
        <w:rPr>
          <w:rFonts w:ascii="Bookman Old Style" w:eastAsia="Bookman Old Style" w:hAnsi="Bookman Old Style" w:cs="Bookman Old Style"/>
        </w:rPr>
        <w:t xml:space="preserve"> e termos aditivos, solicitando quaisquer documentos comprobatórios pertinentes, caso necessário (Art. 23, I e II, do Decreto nº 11.246, de 2022).</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lastRenderedPageBreak/>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fiscal administrativo do contrato comunicará ao gestor do contrato, em tempo hábil, o término do contrato sob sua responsabilidade, com vistas à tempestiva renovação ou prorrogação contratual. (Decreto nº 11.246, de 2022, art. 22, VII).</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3F75B7" w:rsidRPr="003F75B7" w:rsidRDefault="003F75B7" w:rsidP="003F75B7">
      <w:pPr>
        <w:keepNext/>
        <w:keepLines/>
        <w:widowControl/>
        <w:numPr>
          <w:ilvl w:val="0"/>
          <w:numId w:val="5"/>
        </w:numPr>
        <w:tabs>
          <w:tab w:val="left" w:pos="570"/>
        </w:tabs>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 xml:space="preserve">FISCAL: LUIS FERNANDO DE OLIVEIRA </w:t>
      </w:r>
    </w:p>
    <w:p w:rsidR="003F75B7" w:rsidRPr="003F75B7" w:rsidRDefault="003F75B7" w:rsidP="003F75B7">
      <w:pPr>
        <w:keepNext/>
        <w:keepLines/>
        <w:widowControl/>
        <w:tabs>
          <w:tab w:val="left" w:pos="570"/>
        </w:tabs>
        <w:ind w:firstLine="567"/>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E-mail: frotas@pmsas.pr.gov.br</w:t>
      </w:r>
    </w:p>
    <w:p w:rsidR="003F75B7" w:rsidRPr="003F75B7" w:rsidRDefault="003F75B7" w:rsidP="003F75B7">
      <w:pPr>
        <w:keepNext/>
        <w:keepLines/>
        <w:widowControl/>
        <w:tabs>
          <w:tab w:val="left" w:pos="570"/>
        </w:tabs>
        <w:ind w:firstLine="567"/>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 xml:space="preserve">Telefone: 46 3563-8000 </w:t>
      </w:r>
    </w:p>
    <w:p w:rsidR="003F75B7" w:rsidRPr="003F75B7" w:rsidRDefault="003F75B7" w:rsidP="003F75B7">
      <w:pPr>
        <w:keepNext/>
        <w:keepLines/>
        <w:widowControl/>
        <w:tabs>
          <w:tab w:val="left" w:pos="570"/>
        </w:tabs>
        <w:ind w:firstLine="567"/>
        <w:jc w:val="both"/>
        <w:outlineLvl w:val="0"/>
        <w:rPr>
          <w:rFonts w:ascii="Bookman Old Style" w:eastAsia="Bookman Old Style" w:hAnsi="Bookman Old Style" w:cs="Bookman Old Style"/>
        </w:rPr>
      </w:pPr>
    </w:p>
    <w:p w:rsidR="003F75B7" w:rsidRPr="003F75B7" w:rsidRDefault="003F75B7" w:rsidP="003F75B7">
      <w:pPr>
        <w:keepNext/>
        <w:keepLines/>
        <w:widowControl/>
        <w:numPr>
          <w:ilvl w:val="0"/>
          <w:numId w:val="5"/>
        </w:numPr>
        <w:tabs>
          <w:tab w:val="left" w:pos="570"/>
        </w:tabs>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 xml:space="preserve">GESTOR: ALEX GOTARDI </w:t>
      </w:r>
    </w:p>
    <w:p w:rsidR="003F75B7" w:rsidRPr="003F75B7" w:rsidRDefault="003F75B7" w:rsidP="003F75B7">
      <w:pPr>
        <w:keepNext/>
        <w:keepLines/>
        <w:widowControl/>
        <w:tabs>
          <w:tab w:val="left" w:pos="570"/>
        </w:tabs>
        <w:ind w:firstLine="567"/>
        <w:jc w:val="both"/>
        <w:outlineLvl w:val="0"/>
        <w:rPr>
          <w:rFonts w:ascii="Bookman Old Style" w:eastAsia="Bookman Old Style" w:hAnsi="Bookman Old Style" w:cs="Bookman Old Style"/>
        </w:rPr>
      </w:pPr>
      <w:r w:rsidRPr="003F75B7">
        <w:rPr>
          <w:rFonts w:ascii="Bookman Old Style" w:eastAsia="Bookman Old Style" w:hAnsi="Bookman Old Style" w:cs="Bookman Old Style"/>
        </w:rPr>
        <w:t>Telefone: 46 3563-8000</w:t>
      </w:r>
    </w:p>
    <w:p w:rsidR="003F75B7" w:rsidRPr="003F75B7" w:rsidRDefault="003F75B7" w:rsidP="003F75B7">
      <w:pPr>
        <w:keepNext/>
        <w:keepLines/>
        <w:widowControl/>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color w:val="000000"/>
        </w:rPr>
        <w:t xml:space="preserve">CLÁUSULA QUARTA - SUBCONTRATAÇÃO </w:t>
      </w:r>
    </w:p>
    <w:p w:rsidR="003F75B7" w:rsidRPr="003F75B7" w:rsidRDefault="003F75B7" w:rsidP="003F75B7">
      <w:pPr>
        <w:widowControl/>
        <w:spacing w:before="120" w:after="120"/>
        <w:jc w:val="both"/>
        <w:rPr>
          <w:rFonts w:ascii="Bookman Old Style" w:hAnsi="Bookman Old Style"/>
        </w:rPr>
      </w:pPr>
      <w:r w:rsidRPr="003F75B7">
        <w:rPr>
          <w:rFonts w:ascii="Bookman Old Style" w:eastAsia="Bookman Old Style" w:hAnsi="Bookman Old Style" w:cs="Bookman Old Style"/>
        </w:rPr>
        <w:t>Não será admitida a subcontratação do objeto contratual.</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rPr>
        <w:t>CLÁUSULA QUINTA - PAGAMENTO (art. 92, V e VI)</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b/>
        </w:rPr>
        <w:t>PREÇO</w:t>
      </w:r>
    </w:p>
    <w:p w:rsidR="003F75B7" w:rsidRPr="003F75B7" w:rsidRDefault="003F75B7" w:rsidP="003F75B7">
      <w:pPr>
        <w:widowControl/>
        <w:numPr>
          <w:ilvl w:val="2"/>
          <w:numId w:val="10"/>
        </w:numPr>
        <w:spacing w:before="120" w:after="120"/>
        <w:jc w:val="both"/>
        <w:rPr>
          <w:rFonts w:ascii="Bookman Old Style" w:hAnsi="Bookman Old Style"/>
        </w:rPr>
      </w:pPr>
      <w:r w:rsidRPr="003F75B7">
        <w:rPr>
          <w:rFonts w:ascii="Bookman Old Style" w:eastAsia="Bookman Old Style" w:hAnsi="Bookman Old Style" w:cs="Bookman Old Style"/>
        </w:rPr>
        <w:t>O va</w:t>
      </w:r>
      <w:r>
        <w:rPr>
          <w:rFonts w:ascii="Bookman Old Style" w:eastAsia="Bookman Old Style" w:hAnsi="Bookman Old Style" w:cs="Bookman Old Style"/>
        </w:rPr>
        <w:t xml:space="preserve">lor total da contratação é de </w:t>
      </w:r>
      <w:r>
        <w:rPr>
          <w:rFonts w:ascii="Bookman Old Style" w:eastAsia="Bookman Old Style" w:hAnsi="Bookman Old Style" w:cs="Bookman Old Style"/>
          <w:b/>
        </w:rPr>
        <w:t xml:space="preserve">R$ </w:t>
      </w:r>
      <w:r>
        <w:rPr>
          <w:rFonts w:ascii="Bookman Old Style" w:eastAsiaTheme="minorHAnsi" w:hAnsi="Bookman Old Style" w:cs="Bookman Old Style"/>
          <w:b/>
          <w:bCs/>
          <w:lang w:val="x-none" w:eastAsia="en-US"/>
        </w:rPr>
        <w:t>937.700,00</w:t>
      </w:r>
      <w:r>
        <w:rPr>
          <w:rFonts w:ascii="Bookman Old Style" w:eastAsiaTheme="minorHAnsi" w:hAnsi="Bookman Old Style" w:cs="Bookman Old Style"/>
          <w:b/>
          <w:bCs/>
          <w:lang w:eastAsia="en-US"/>
        </w:rPr>
        <w:t xml:space="preserve"> </w:t>
      </w:r>
      <w:r>
        <w:rPr>
          <w:rFonts w:ascii="Bookman Old Style" w:eastAsiaTheme="minorHAnsi" w:hAnsi="Bookman Old Style" w:cs="Bookman Old Style"/>
          <w:b/>
          <w:bCs/>
          <w:lang w:val="x-none" w:eastAsia="en-US"/>
        </w:rPr>
        <w:t>(Novecentos e Trinta e Sete Mil e Setecentos Reais)</w:t>
      </w:r>
      <w:r>
        <w:rPr>
          <w:rFonts w:ascii="Bookman Old Style" w:eastAsiaTheme="minorHAnsi" w:hAnsi="Bookman Old Style" w:cs="Bookman Old Style"/>
          <w:b/>
          <w:bCs/>
          <w:lang w:eastAsia="en-US"/>
        </w:rPr>
        <w:t>.</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O valor acima é meramente estimativo, de forma que os pagamentos devidos ao contratado dependerão dos quantitativos efetivamente fornecidos.</w:t>
      </w:r>
    </w:p>
    <w:p w:rsidR="003F75B7" w:rsidRPr="003F75B7" w:rsidRDefault="003F75B7" w:rsidP="003F75B7">
      <w:pPr>
        <w:widowControl/>
        <w:numPr>
          <w:ilvl w:val="1"/>
          <w:numId w:val="5"/>
        </w:numPr>
        <w:spacing w:before="120" w:after="120"/>
        <w:jc w:val="both"/>
        <w:rPr>
          <w:rFonts w:ascii="Bookman Old Style" w:hAnsi="Bookman Old Style"/>
        </w:rPr>
      </w:pPr>
      <w:r w:rsidRPr="003F75B7">
        <w:rPr>
          <w:rFonts w:ascii="Bookman Old Style" w:eastAsia="Bookman Old Style" w:hAnsi="Bookman Old Style" w:cs="Bookman Old Style"/>
          <w:b/>
        </w:rPr>
        <w:t>FORMA DE PAGAMENTO</w:t>
      </w:r>
    </w:p>
    <w:p w:rsidR="003F75B7" w:rsidRPr="003F75B7" w:rsidRDefault="003F75B7" w:rsidP="003F75B7">
      <w:pPr>
        <w:widowControl/>
        <w:numPr>
          <w:ilvl w:val="2"/>
          <w:numId w:val="11"/>
        </w:numPr>
        <w:spacing w:before="120" w:after="120"/>
        <w:jc w:val="both"/>
        <w:rPr>
          <w:rFonts w:ascii="Bookman Old Style" w:hAnsi="Bookman Old Style"/>
        </w:rPr>
      </w:pPr>
      <w:r w:rsidRPr="003F75B7">
        <w:rPr>
          <w:rFonts w:ascii="Bookman Old Style" w:eastAsia="Bookman Old Style" w:hAnsi="Bookman Old Style" w:cs="Bookman Old Style"/>
        </w:rPr>
        <w:t>O pagamento será realizado através de ordem bancária, para crédito em banco, agência e conta corrente indicados pelo contratado.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Será considerada data do pagamento o dia em que constar como emitida a ordem bancária para pagamento.</w:t>
      </w:r>
    </w:p>
    <w:p w:rsidR="003F75B7" w:rsidRPr="003F75B7" w:rsidRDefault="003F75B7" w:rsidP="003F75B7">
      <w:pPr>
        <w:widowControl/>
        <w:numPr>
          <w:ilvl w:val="1"/>
          <w:numId w:val="5"/>
        </w:numPr>
        <w:spacing w:before="120" w:after="120"/>
        <w:jc w:val="both"/>
        <w:rPr>
          <w:rFonts w:ascii="Bookman Old Style" w:hAnsi="Bookman Old Style"/>
        </w:rPr>
      </w:pPr>
      <w:r w:rsidRPr="003F75B7">
        <w:rPr>
          <w:rFonts w:ascii="Bookman Old Style" w:eastAsia="Bookman Old Style" w:hAnsi="Bookman Old Style" w:cs="Bookman Old Style"/>
          <w:b/>
        </w:rPr>
        <w:t>PRAZO DE PAGAMENTO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lastRenderedPageBreak/>
        <w:t xml:space="preserve">O pagamento será efetuado no prazo máximo de até 30 (trinta) dias, contados </w:t>
      </w:r>
      <w:r w:rsidRPr="003F75B7">
        <w:rPr>
          <w:rFonts w:ascii="Bookman Old Style" w:eastAsia="Bookman Old Style" w:hAnsi="Bookman Old Style" w:cs="Bookman Old Style"/>
          <w:color w:val="000000"/>
        </w:rPr>
        <w:t>do recebimento da Nota Fiscal/Fatura.</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color w:val="000000"/>
        </w:rPr>
        <w:t>Considera-se ocorrido o recebimento da nota fiscal ou fatura quando o órgão contratante atestar a execução do objeto do contrato.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color w:val="000000"/>
        </w:rPr>
        <w:t>No caso de atraso pelo Contratante, os valores devidos ao contratado serão atualizados monetariamente entre o termo final do prazo de pagamento até a data de sua efetiva realização, mediante aplicação do índice</w:t>
      </w:r>
      <w:r w:rsidRPr="003F75B7">
        <w:rPr>
          <w:rFonts w:ascii="Bookman Old Style" w:eastAsia="Bookman Old Style" w:hAnsi="Bookman Old Style" w:cs="Bookman Old Style"/>
          <w:shd w:val="clear" w:color="auto" w:fill="FFFFFF"/>
        </w:rPr>
        <w:t> de Preços ao Consumidor Aplicado (IPCA)</w:t>
      </w:r>
      <w:r w:rsidRPr="003F75B7">
        <w:rPr>
          <w:rFonts w:ascii="Bookman Old Style" w:eastAsia="Bookman Old Style" w:hAnsi="Bookman Old Style" w:cs="Bookman Old Style"/>
        </w:rPr>
        <w:t xml:space="preserve"> de correção monetária.</w:t>
      </w:r>
    </w:p>
    <w:p w:rsidR="003F75B7" w:rsidRPr="003F75B7" w:rsidRDefault="003F75B7" w:rsidP="003F75B7">
      <w:pPr>
        <w:widowControl/>
        <w:numPr>
          <w:ilvl w:val="1"/>
          <w:numId w:val="5"/>
        </w:numPr>
        <w:spacing w:before="120" w:after="120"/>
        <w:jc w:val="both"/>
        <w:rPr>
          <w:rFonts w:ascii="Bookman Old Style" w:hAnsi="Bookman Old Style"/>
        </w:rPr>
      </w:pPr>
      <w:r w:rsidRPr="003F75B7">
        <w:rPr>
          <w:rFonts w:ascii="Bookman Old Style" w:eastAsia="Bookman Old Style" w:hAnsi="Bookman Old Style" w:cs="Bookman Old Style"/>
          <w:b/>
        </w:rPr>
        <w:t>CONDIÇÕES DE PAGAMENTO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A emissão da </w:t>
      </w:r>
      <w:r w:rsidRPr="003F75B7">
        <w:rPr>
          <w:rFonts w:ascii="Bookman Old Style" w:eastAsia="Bookman Old Style" w:hAnsi="Bookman Old Style" w:cs="Bookman Old Style"/>
          <w:color w:val="000000"/>
        </w:rPr>
        <w:t>Nota Fiscal/Fatura será precedida do recebimento definitivo do objeto da contratação, conforme disposto neste instrumento e/ou no Termo de Referência.</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color w:val="000000"/>
        </w:rPr>
        <w:t xml:space="preserve"> Quando houver glosa parcial do objeto, o contratante deverá comunicar a empresa para que emita a nota fiscal ou fatura com o valor exato dimensionado.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color w:val="000000"/>
        </w:rPr>
        <w:t xml:space="preserve">O setor competente para proceder o pagamento deve verificar se a Nota Fiscal ou Fatura apresentada expressa os elementos necessários e essenciais do documento, tais como: </w:t>
      </w:r>
    </w:p>
    <w:p w:rsidR="003F75B7" w:rsidRPr="003F75B7" w:rsidRDefault="003F75B7" w:rsidP="003F75B7">
      <w:pPr>
        <w:widowControl/>
        <w:numPr>
          <w:ilvl w:val="0"/>
          <w:numId w:val="4"/>
        </w:numPr>
        <w:spacing w:before="120" w:after="120"/>
        <w:jc w:val="both"/>
        <w:rPr>
          <w:rFonts w:ascii="Bookman Old Style" w:hAnsi="Bookman Old Style"/>
        </w:rPr>
      </w:pPr>
      <w:proofErr w:type="gramStart"/>
      <w:r w:rsidRPr="003F75B7">
        <w:rPr>
          <w:rFonts w:ascii="Bookman Old Style" w:eastAsia="Bookman Old Style" w:hAnsi="Bookman Old Style" w:cs="Bookman Old Style"/>
          <w:color w:val="000000"/>
        </w:rPr>
        <w:t>o</w:t>
      </w:r>
      <w:proofErr w:type="gramEnd"/>
      <w:r w:rsidRPr="003F75B7">
        <w:rPr>
          <w:rFonts w:ascii="Bookman Old Style" w:eastAsia="Bookman Old Style" w:hAnsi="Bookman Old Style" w:cs="Bookman Old Style"/>
          <w:color w:val="000000"/>
        </w:rPr>
        <w:t xml:space="preserve"> prazo de validade; </w:t>
      </w:r>
    </w:p>
    <w:p w:rsidR="003F75B7" w:rsidRPr="003F75B7" w:rsidRDefault="003F75B7" w:rsidP="003F75B7">
      <w:pPr>
        <w:widowControl/>
        <w:numPr>
          <w:ilvl w:val="0"/>
          <w:numId w:val="3"/>
        </w:numPr>
        <w:spacing w:before="120" w:after="120"/>
        <w:jc w:val="both"/>
        <w:rPr>
          <w:rFonts w:ascii="Bookman Old Style" w:hAnsi="Bookman Old Style"/>
        </w:rPr>
      </w:pPr>
      <w:proofErr w:type="gramStart"/>
      <w:r w:rsidRPr="003F75B7">
        <w:rPr>
          <w:rFonts w:ascii="Bookman Old Style" w:eastAsia="Bookman Old Style" w:hAnsi="Bookman Old Style" w:cs="Bookman Old Style"/>
          <w:color w:val="000000"/>
        </w:rPr>
        <w:t>a</w:t>
      </w:r>
      <w:proofErr w:type="gramEnd"/>
      <w:r w:rsidRPr="003F75B7">
        <w:rPr>
          <w:rFonts w:ascii="Bookman Old Style" w:eastAsia="Bookman Old Style" w:hAnsi="Bookman Old Style" w:cs="Bookman Old Style"/>
          <w:color w:val="000000"/>
        </w:rPr>
        <w:t xml:space="preserve"> data da emissão; </w:t>
      </w:r>
    </w:p>
    <w:p w:rsidR="003F75B7" w:rsidRPr="003F75B7" w:rsidRDefault="003F75B7" w:rsidP="003F75B7">
      <w:pPr>
        <w:widowControl/>
        <w:numPr>
          <w:ilvl w:val="0"/>
          <w:numId w:val="3"/>
        </w:numPr>
        <w:spacing w:before="120" w:after="120"/>
        <w:jc w:val="both"/>
        <w:rPr>
          <w:rFonts w:ascii="Bookman Old Style" w:hAnsi="Bookman Old Style"/>
        </w:rPr>
      </w:pPr>
      <w:proofErr w:type="gramStart"/>
      <w:r w:rsidRPr="003F75B7">
        <w:rPr>
          <w:rFonts w:ascii="Bookman Old Style" w:eastAsia="Bookman Old Style" w:hAnsi="Bookman Old Style" w:cs="Bookman Old Style"/>
          <w:color w:val="000000"/>
        </w:rPr>
        <w:t>os</w:t>
      </w:r>
      <w:proofErr w:type="gramEnd"/>
      <w:r w:rsidRPr="003F75B7">
        <w:rPr>
          <w:rFonts w:ascii="Bookman Old Style" w:eastAsia="Bookman Old Style" w:hAnsi="Bookman Old Style" w:cs="Bookman Old Style"/>
          <w:color w:val="000000"/>
        </w:rPr>
        <w:t xml:space="preserve"> dados do contrato e do órgão contratante; </w:t>
      </w:r>
    </w:p>
    <w:p w:rsidR="003F75B7" w:rsidRPr="003F75B7" w:rsidRDefault="003F75B7" w:rsidP="003F75B7">
      <w:pPr>
        <w:widowControl/>
        <w:numPr>
          <w:ilvl w:val="0"/>
          <w:numId w:val="3"/>
        </w:numPr>
        <w:spacing w:before="120" w:after="120"/>
        <w:jc w:val="both"/>
        <w:rPr>
          <w:rFonts w:ascii="Bookman Old Style" w:hAnsi="Bookman Old Style"/>
        </w:rPr>
      </w:pPr>
      <w:proofErr w:type="gramStart"/>
      <w:r w:rsidRPr="003F75B7">
        <w:rPr>
          <w:rFonts w:ascii="Bookman Old Style" w:eastAsia="Bookman Old Style" w:hAnsi="Bookman Old Style" w:cs="Bookman Old Style"/>
          <w:color w:val="000000"/>
        </w:rPr>
        <w:t>o</w:t>
      </w:r>
      <w:proofErr w:type="gramEnd"/>
      <w:r w:rsidRPr="003F75B7">
        <w:rPr>
          <w:rFonts w:ascii="Bookman Old Style" w:eastAsia="Bookman Old Style" w:hAnsi="Bookman Old Style" w:cs="Bookman Old Style"/>
          <w:color w:val="000000"/>
        </w:rPr>
        <w:t xml:space="preserve"> período respectivo de execução do contrato; </w:t>
      </w:r>
    </w:p>
    <w:p w:rsidR="003F75B7" w:rsidRPr="003F75B7" w:rsidRDefault="003F75B7" w:rsidP="003F75B7">
      <w:pPr>
        <w:widowControl/>
        <w:numPr>
          <w:ilvl w:val="0"/>
          <w:numId w:val="3"/>
        </w:numPr>
        <w:spacing w:before="120" w:after="120"/>
        <w:jc w:val="both"/>
        <w:rPr>
          <w:rFonts w:ascii="Bookman Old Style" w:hAnsi="Bookman Old Style"/>
        </w:rPr>
      </w:pPr>
      <w:proofErr w:type="gramStart"/>
      <w:r w:rsidRPr="003F75B7">
        <w:rPr>
          <w:rFonts w:ascii="Bookman Old Style" w:eastAsia="Bookman Old Style" w:hAnsi="Bookman Old Style" w:cs="Bookman Old Style"/>
          <w:color w:val="000000"/>
        </w:rPr>
        <w:t>o</w:t>
      </w:r>
      <w:proofErr w:type="gramEnd"/>
      <w:r w:rsidRPr="003F75B7">
        <w:rPr>
          <w:rFonts w:ascii="Bookman Old Style" w:eastAsia="Bookman Old Style" w:hAnsi="Bookman Old Style" w:cs="Bookman Old Style"/>
          <w:color w:val="000000"/>
        </w:rPr>
        <w:t xml:space="preserve"> valor a pagar; e </w:t>
      </w:r>
    </w:p>
    <w:p w:rsidR="003F75B7" w:rsidRPr="003F75B7" w:rsidRDefault="003F75B7" w:rsidP="003F75B7">
      <w:pPr>
        <w:widowControl/>
        <w:numPr>
          <w:ilvl w:val="0"/>
          <w:numId w:val="3"/>
        </w:numPr>
        <w:spacing w:before="120" w:after="120"/>
        <w:jc w:val="both"/>
        <w:rPr>
          <w:rFonts w:ascii="Bookman Old Style" w:hAnsi="Bookman Old Style"/>
        </w:rPr>
      </w:pPr>
      <w:r w:rsidRPr="003F75B7">
        <w:rPr>
          <w:rFonts w:ascii="Bookman Old Style" w:eastAsia="Bookman Old Style" w:hAnsi="Bookman Old Style" w:cs="Bookman Old Style"/>
          <w:color w:val="000000"/>
        </w:rPr>
        <w:t xml:space="preserve"> </w:t>
      </w:r>
      <w:proofErr w:type="gramStart"/>
      <w:r w:rsidRPr="003F75B7">
        <w:rPr>
          <w:rFonts w:ascii="Bookman Old Style" w:eastAsia="Bookman Old Style" w:hAnsi="Bookman Old Style" w:cs="Bookman Old Style"/>
          <w:color w:val="000000"/>
        </w:rPr>
        <w:t>eventual</w:t>
      </w:r>
      <w:proofErr w:type="gramEnd"/>
      <w:r w:rsidRPr="003F75B7">
        <w:rPr>
          <w:rFonts w:ascii="Bookman Old Style" w:eastAsia="Bookman Old Style" w:hAnsi="Bookman Old Style" w:cs="Bookman Old Style"/>
          <w:color w:val="000000"/>
        </w:rPr>
        <w:t xml:space="preserve"> destaque do valor de retenções tributárias cabíveis.</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Havendo erro </w:t>
      </w:r>
      <w:r w:rsidRPr="003F75B7">
        <w:rPr>
          <w:rFonts w:ascii="Bookman Old Style" w:eastAsia="Bookman Old Style" w:hAnsi="Bookman Old Style" w:cs="Bookman Old Style"/>
          <w:color w:val="000000"/>
        </w:rPr>
        <w:t>na</w:t>
      </w:r>
      <w:r w:rsidRPr="003F75B7">
        <w:rPr>
          <w:rFonts w:ascii="Bookman Old Style" w:eastAsia="Bookman Old Style" w:hAnsi="Bookman Old Style" w:cs="Bookman Old Style"/>
        </w:rPr>
        <w:t xml:space="preserve"> apresentação da Nota Fiscal/Fatura, ou circunstância que impeça a liquidação da </w:t>
      </w:r>
      <w:r w:rsidRPr="003F75B7">
        <w:rPr>
          <w:rFonts w:ascii="Bookman Old Style" w:eastAsia="Bookman Old Style" w:hAnsi="Bookman Old Style" w:cs="Bookman Old Style"/>
          <w:color w:val="000000"/>
        </w:rPr>
        <w:t>despesa</w:t>
      </w:r>
      <w:r w:rsidRPr="003F75B7">
        <w:rPr>
          <w:rFonts w:ascii="Bookman Old Style" w:eastAsia="Bookman Old Style" w:hAnsi="Bookman Old Style" w:cs="Bookman Old Style"/>
        </w:rPr>
        <w:t>, o pagamento ficará sobrestado até que o contratado providencie as medidas saneadoras. Nessa hipótese, o prazo para pagamento iniciar-se-á após a comprovação da regularização da situação, não acarretando qualquer ônus para o contratante;</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 </w:t>
      </w:r>
      <w:r w:rsidRPr="003F75B7">
        <w:rPr>
          <w:rFonts w:ascii="Bookman Old Style" w:eastAsia="Bookman Old Style" w:hAnsi="Bookman Old Style" w:cs="Bookman Old Style"/>
          <w:color w:val="000000"/>
        </w:rPr>
        <w:t xml:space="preserve">A Nota Fiscal ou Fatura deverá ser obrigatoriamente acompanhada da comprovação da regularidade fiscal, constatada por meio de consulta </w:t>
      </w:r>
      <w:r w:rsidRPr="003F75B7">
        <w:rPr>
          <w:rFonts w:ascii="Bookman Old Style" w:eastAsia="Bookman Old Style" w:hAnsi="Bookman Old Style" w:cs="Bookman Old Style"/>
          <w:i/>
          <w:color w:val="000000"/>
        </w:rPr>
        <w:t>on-line</w:t>
      </w:r>
      <w:r w:rsidRPr="003F75B7">
        <w:rPr>
          <w:rFonts w:ascii="Bookman Old Style" w:eastAsia="Bookman Old Style" w:hAnsi="Bookman Old Style" w:cs="Bookman Old Style"/>
          <w:color w:val="000000"/>
        </w:rPr>
        <w:t xml:space="preserve"> ao SICAF ou, na impossibilidade de acesso ao referido Sistema, mediante consulta aos sítios eletrônicos oficiais ou à documentação mencionada no art. 68 da Lei nº </w:t>
      </w:r>
      <w:r w:rsidRPr="003F75B7">
        <w:rPr>
          <w:rFonts w:ascii="Bookman Old Style" w:eastAsia="Bookman Old Style" w:hAnsi="Bookman Old Style" w:cs="Bookman Old Style"/>
        </w:rPr>
        <w:t xml:space="preserve">14.133/2021. </w:t>
      </w:r>
      <w:r w:rsidRPr="003F75B7">
        <w:rPr>
          <w:rFonts w:ascii="Bookman Old Style" w:eastAsia="Bookman Old Style" w:hAnsi="Bookman Old Style" w:cs="Bookman Old Style"/>
          <w:color w:val="000000"/>
        </w:rPr>
        <w:t xml:space="preserve">  </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Previamente à emissão de nota de empenho e a cada pagamento, a Administração deverá realizar consulta ao </w:t>
      </w:r>
      <w:r w:rsidRPr="003F75B7">
        <w:rPr>
          <w:rFonts w:ascii="Bookman Old Style" w:eastAsia="Bookman Old Style" w:hAnsi="Bookman Old Style" w:cs="Bookman Old Style"/>
          <w:color w:val="000000"/>
        </w:rPr>
        <w:t>SICAF</w:t>
      </w:r>
      <w:r w:rsidRPr="003F75B7">
        <w:rPr>
          <w:rFonts w:ascii="Bookman Old Style" w:eastAsia="Bookman Old Style" w:hAnsi="Bookman Old Style" w:cs="Bookman Old Style"/>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Constatando-se, junto ao SICAF, a situação de irregularidade do contratado, será providenciada sua </w:t>
      </w:r>
      <w:r w:rsidRPr="003F75B7">
        <w:rPr>
          <w:rFonts w:ascii="Bookman Old Style" w:eastAsia="Bookman Old Style" w:hAnsi="Bookman Old Style" w:cs="Bookman Old Style"/>
          <w:color w:val="000000"/>
        </w:rPr>
        <w:t>notificação</w:t>
      </w:r>
      <w:r w:rsidRPr="003F75B7">
        <w:rPr>
          <w:rFonts w:ascii="Bookman Old Style" w:eastAsia="Bookman Old Style" w:hAnsi="Bookman Old Style" w:cs="Bookman Old Style"/>
        </w:rPr>
        <w:t>, por escrito, para que, no prazo de 5 (cinco) dias úteis, regularize sua situação ou, no mesmo prazo, apresente sua defesa. O prazo poderá ser prorrogado uma vez, por igual período, a critério do contratante.</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Persistindo a irregularidade, o contratante deverá adotar as medidas necessárias à rescisão contratual nos autos do processo administrativo correspondente, assegurada ao contratado a ampla defesa. </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Havendo a efetiva execução do objeto, os pagamentos serão realizados normalmente, até que se decida pela rescisão do contrato, caso o contratado não regularize sua situação junto ao SICAF.  </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Quando do pagamento, será efetuada a retenção tributária prevista na legislação aplicável.</w:t>
      </w:r>
    </w:p>
    <w:p w:rsidR="003F75B7" w:rsidRPr="003F75B7" w:rsidRDefault="003F75B7" w:rsidP="003F75B7">
      <w:pPr>
        <w:widowControl/>
        <w:numPr>
          <w:ilvl w:val="3"/>
          <w:numId w:val="12"/>
        </w:numPr>
        <w:spacing w:before="120" w:after="120"/>
        <w:jc w:val="both"/>
        <w:rPr>
          <w:rFonts w:ascii="Bookman Old Style" w:hAnsi="Bookman Old Style"/>
        </w:rPr>
      </w:pPr>
      <w:r w:rsidRPr="003F75B7">
        <w:rPr>
          <w:rFonts w:ascii="Bookman Old Style" w:eastAsia="Bookman Old Style" w:hAnsi="Bookman Old Style" w:cs="Bookman Old Style"/>
        </w:rPr>
        <w:t>Independentemente do percentual de tributo inserido na planilha, no pagamento serão retidos na fonte os percentuais estabelecidos na legislação vigente.</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O contratado regularmente optante pelo Simples Nacional, nos termos da Lei Complementar nº 123, de 2006, não sofrerá a retenção tributária quanto aos impostos e contribuições abrangidos por aquele </w:t>
      </w:r>
      <w:r w:rsidRPr="003F75B7">
        <w:rPr>
          <w:rFonts w:ascii="Bookman Old Style" w:eastAsia="Bookman Old Style" w:hAnsi="Bookman Old Style" w:cs="Bookman Old Style"/>
        </w:rPr>
        <w:lastRenderedPageBreak/>
        <w:t>regime. No entanto, o pagamento ficará condicionado à apresentação de comprovação, por meio de documento oficial, de que faz jus ao tratamento tributário favorecido previsto na referida Lei Complementar.</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rPr>
        <w:t>CLÁUSULA SEXTA - REAJUSTE (art. 92, V)</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Caso o(s) índice(s) estabelecido(s) para reajustamento venha(m) a ser extinto(s) ou de qualquer forma não possa(m) mais ser utilizado(s), será(</w:t>
      </w:r>
      <w:proofErr w:type="spellStart"/>
      <w:r w:rsidRPr="003F75B7">
        <w:rPr>
          <w:rFonts w:ascii="Bookman Old Style" w:eastAsia="Bookman Old Style" w:hAnsi="Bookman Old Style" w:cs="Bookman Old Style"/>
        </w:rPr>
        <w:t>ão</w:t>
      </w:r>
      <w:proofErr w:type="spellEnd"/>
      <w:r w:rsidRPr="003F75B7">
        <w:rPr>
          <w:rFonts w:ascii="Bookman Old Style" w:eastAsia="Bookman Old Style" w:hAnsi="Bookman Old Style" w:cs="Bookman Old Style"/>
        </w:rPr>
        <w:t>) adotado(s), em substituição, o(s) que vier(em) a ser determinado(s) pela legislação então em vigor.</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Na ausência de previsão legal quanto ao índice substituto, as partes elegerão novo índice oficial, para reajustamento do preço do valor remanescente, por meio de termo aditivo. </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O reajuste será realizado por </w:t>
      </w:r>
      <w:proofErr w:type="spellStart"/>
      <w:r w:rsidRPr="003F75B7">
        <w:rPr>
          <w:rFonts w:ascii="Bookman Old Style" w:eastAsia="Bookman Old Style" w:hAnsi="Bookman Old Style" w:cs="Bookman Old Style"/>
        </w:rPr>
        <w:t>apostilamento</w:t>
      </w:r>
      <w:proofErr w:type="spellEnd"/>
      <w:r w:rsidRPr="003F75B7">
        <w:rPr>
          <w:rFonts w:ascii="Bookman Old Style" w:eastAsia="Bookman Old Style" w:hAnsi="Bookman Old Style" w:cs="Bookman Old Style"/>
        </w:rPr>
        <w:t>.</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color w:val="000000"/>
        </w:rPr>
        <w:t>CLÁUSULA SÉTIMA - OBRIGAÇÕES DO CONTRATANTE (art. 92, X, XI e XIV)</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São obrigações do Contratante:</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Exigir</w:t>
      </w:r>
      <w:r w:rsidRPr="003F75B7">
        <w:rPr>
          <w:rFonts w:ascii="Bookman Old Style" w:eastAsia="Bookman Old Style" w:hAnsi="Bookman Old Style" w:cs="Bookman Old Style"/>
          <w:color w:val="000000"/>
        </w:rPr>
        <w:t xml:space="preserve"> o cumprimento de todas as obrigações assumidas pelo Contratado, de acordo com o contrato e seus anexos;</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Receber o objeto no prazo e condições estabelecidas no Termo de Referência;</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color w:val="000000"/>
        </w:rPr>
        <w:t>Notificar o Contratado</w:t>
      </w:r>
      <w:r w:rsidRPr="003F75B7">
        <w:rPr>
          <w:rFonts w:ascii="Bookman Old Style" w:eastAsia="Bookman Old Style" w:hAnsi="Bookman Old Style" w:cs="Bookman Old Style"/>
        </w:rPr>
        <w:t>, por escrito, sobre vícios, defeitos ou incorreções verificadas no objeto fornecido, para que seja por ele substituído, reparado ou corrigido, no total ou em parte, às suas expensas;</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Acompanhar e fiscalizar a execução do contrato e o cumprimento das obrigações pelo Contratado</w:t>
      </w:r>
      <w:r w:rsidRPr="003F75B7">
        <w:rPr>
          <w:rFonts w:ascii="Bookman Old Style" w:eastAsia="Bookman Old Style" w:hAnsi="Bookman Old Style" w:cs="Bookman Old Style"/>
          <w:color w:val="000000"/>
        </w:rPr>
        <w:t>;</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Efetuar o pagamento ao Contratado</w:t>
      </w:r>
      <w:r w:rsidRPr="003F75B7">
        <w:rPr>
          <w:rFonts w:ascii="Bookman Old Style" w:eastAsia="Bookman Old Style" w:hAnsi="Bookman Old Style" w:cs="Bookman Old Style"/>
          <w:b/>
        </w:rPr>
        <w:t xml:space="preserve"> </w:t>
      </w:r>
      <w:r w:rsidRPr="003F75B7">
        <w:rPr>
          <w:rFonts w:ascii="Bookman Old Style" w:eastAsia="Bookman Old Style" w:hAnsi="Bookman Old Style" w:cs="Bookman Old Style"/>
        </w:rPr>
        <w:t>do valor correspondente ao fornecimento do objeto, no prazo, forma e condições estabelecidos no presente Contrato;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color w:val="000000"/>
        </w:rPr>
        <w:t>Aplicar ao Contratado sanções motivadas pela inexecução total ou parcial do Contrato;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i/>
        </w:rPr>
        <w:t>Notificar os emitentes das garantias quanto ao início de processo administrativo para apuração de descumprimento de cláusulas contratuais.</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w:t>
      </w:r>
    </w:p>
    <w:p w:rsidR="003F75B7" w:rsidRPr="003F75B7" w:rsidRDefault="003F75B7" w:rsidP="003F75B7">
      <w:pPr>
        <w:widowControl/>
        <w:numPr>
          <w:ilvl w:val="0"/>
          <w:numId w:val="5"/>
        </w:numPr>
        <w:spacing w:before="120" w:after="120"/>
        <w:jc w:val="both"/>
        <w:rPr>
          <w:rFonts w:ascii="Bookman Old Style" w:hAnsi="Bookman Old Style"/>
        </w:rPr>
      </w:pPr>
      <w:r w:rsidRPr="003F75B7">
        <w:rPr>
          <w:rFonts w:ascii="Bookman Old Style" w:eastAsia="Bookman Old Style" w:hAnsi="Bookman Old Style" w:cs="Bookman Old Style"/>
          <w:b/>
        </w:rPr>
        <w:t>CLÁUSULA OITAVA - OBRIGAÇÕES DA CONTRATADA (art. 92, XIV, XVI e XVII)</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lastRenderedPageBreak/>
        <w:t xml:space="preserve"> Fornecer o objeto deste Termo de Referência e atender às demais condições estabelecidas no contrato;</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Responder por quaisquer danos, perdas ou prejuízos, causados a CONTRATANTE, independente de dolo ou culpa, bem como por aqueles que venham a ser causados por seus prepostos;</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Fornecer os combustíveis gasolina comum e etanol comum;</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Possuir sede própria/estabelecimento no perímetro urbano do município;</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 xml:space="preserve"> A CONTRATADA será responsável pelos encargos trabalhistas, previdenciários, fiscais, comerciais e outros que a legislação exigir, resultantes da execução do contrato;</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 xml:space="preserve"> Responder por quaisquer danos, materiais ou físicos, independente de conduta culposa ou dolosa, por seus empregados, quando em serviço a servidores da CONTRATANTE, ou a terceiros, devendo ser adotadas providências saneadoras dentro de 48 (quarenta e oito) horas após o devido comunicado;</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 xml:space="preserve"> A CONTRATADA deverá manter, durante toda execução do contrato, compatibilidade com as obrigações por ela assumidas, bem como com as condições de habilitação e qualidade exigidas na licitação;</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 xml:space="preserve"> Responsabilizar por danos causados aos equipamentos elou outros bens de propriedade da CONTRATANTE, ou de terceiros, ocasionados por seus empregados, em virtude de dolo ou culpa, quando da execução do objeto contratado;</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 xml:space="preserve"> A CONTRATADA deverá observar a determinação constante do art. 40 da Resolução CNJ n. 156/2012, na qual é vedada a manutenção, aditamento ou prorrogação de contrato de prestação de serviços com empresa que tenha, entre seus empregados colocados à disposição do CJF para o exercício de funções de chefia, pessoas que incidam na vedação dos artigos 1 0 e 20, devendo, tal condição, constar expressamente no edital de licitação.</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 xml:space="preserve"> A CONTRATADA deverá encaminhar ao setor de compras/licitações até as 10 (dez) horas da manhã as notas fiscais referentes aos abastecimentos da semana. Os dias da entrega das notas deverão ser ajustados com a administração no ato da assinatura do contrato. Para os fechamentos de mês, a CONTRATADA deverá entregar as notas fiscais no primeiro dia útil do mês, também até as 10 (dez) horas da manhã.</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eastAsia="Bookman Old Style" w:hAnsi="Bookman Old Style" w:cs="Bookman Old Style"/>
          <w:color w:val="000000"/>
        </w:rPr>
      </w:pPr>
      <w:r w:rsidRPr="003F75B7">
        <w:rPr>
          <w:rFonts w:ascii="Bookman Old Style" w:eastAsia="Bookman Old Style" w:hAnsi="Bookman Old Style" w:cs="Bookman Old Style"/>
          <w:color w:val="000000"/>
        </w:rPr>
        <w:t xml:space="preserve"> A contratada deverá apresentar juntamente com a Nota Fiscal/Fatura, as certidões comprovando a sua situação regular perante a Seguridade Social e ao Fundo de Garantia por Tempo de Serviço — FGTS.</w:t>
      </w:r>
    </w:p>
    <w:p w:rsidR="003F75B7" w:rsidRPr="003F75B7" w:rsidRDefault="003F75B7" w:rsidP="003F75B7">
      <w:pPr>
        <w:keepNext/>
        <w:keepLines/>
        <w:widowControl/>
        <w:numPr>
          <w:ilvl w:val="1"/>
          <w:numId w:val="5"/>
        </w:numPr>
        <w:tabs>
          <w:tab w:val="left" w:pos="705"/>
        </w:tabs>
        <w:spacing w:before="240"/>
        <w:ind w:left="0"/>
        <w:jc w:val="both"/>
        <w:outlineLvl w:val="0"/>
        <w:rPr>
          <w:rFonts w:ascii="Bookman Old Style" w:hAnsi="Bookman Old Style"/>
        </w:rPr>
      </w:pPr>
      <w:r w:rsidRPr="003F75B7">
        <w:rPr>
          <w:rFonts w:ascii="Bookman Old Style" w:eastAsia="Bookman Old Style" w:hAnsi="Bookman Old Style" w:cs="Bookman Old Style"/>
          <w:color w:val="000000"/>
        </w:rPr>
        <w:t xml:space="preserve"> Durante a vigência do contrato, quando solicitado, deverá apresentar certificado de qualidade dos produtos objeto do contrato.</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color w:val="000000"/>
        </w:rPr>
        <w:t>CLÁUSULA NONA – INFRAÇÕES E SANÇÕES ADMINISTRATIVAS (art. 92, XIV)</w:t>
      </w:r>
    </w:p>
    <w:p w:rsidR="003F75B7" w:rsidRPr="003F75B7" w:rsidRDefault="003F75B7" w:rsidP="003F75B7">
      <w:pPr>
        <w:widowControl/>
        <w:numPr>
          <w:ilvl w:val="1"/>
          <w:numId w:val="5"/>
        </w:numPr>
        <w:spacing w:before="120" w:after="120"/>
        <w:jc w:val="both"/>
        <w:rPr>
          <w:rFonts w:ascii="Bookman Old Style" w:hAnsi="Bookman Old Style"/>
        </w:rPr>
      </w:pPr>
      <w:r w:rsidRPr="003F75B7">
        <w:rPr>
          <w:rFonts w:ascii="Bookman Old Style" w:eastAsia="Bookman Old Style" w:hAnsi="Bookman Old Style" w:cs="Bookman Old Style"/>
        </w:rPr>
        <w:t>Comete infração administrativa, nos termos da Lei nº 14.133, de 2021, o Contratado que:</w:t>
      </w:r>
    </w:p>
    <w:p w:rsidR="003F75B7" w:rsidRPr="003F75B7" w:rsidRDefault="003F75B7" w:rsidP="003F75B7">
      <w:pPr>
        <w:widowControl/>
        <w:numPr>
          <w:ilvl w:val="2"/>
          <w:numId w:val="2"/>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der</w:t>
      </w:r>
      <w:proofErr w:type="gramEnd"/>
      <w:r w:rsidRPr="003F75B7">
        <w:rPr>
          <w:rFonts w:ascii="Bookman Old Style" w:eastAsia="Bookman Old Style" w:hAnsi="Bookman Old Style" w:cs="Bookman Old Style"/>
        </w:rPr>
        <w:t xml:space="preserve"> causa à inexecução parcial do contrato;</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der</w:t>
      </w:r>
      <w:proofErr w:type="gramEnd"/>
      <w:r w:rsidRPr="003F75B7">
        <w:rPr>
          <w:rFonts w:ascii="Bookman Old Style" w:eastAsia="Bookman Old Style" w:hAnsi="Bookman Old Style" w:cs="Bookman Old Style"/>
        </w:rPr>
        <w:t xml:space="preserve"> causa à inexecução parcial do contrato que cause grave dano à Administração ou ao funcionamento dos serviços públicos ou ao interesse coletivo;</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der</w:t>
      </w:r>
      <w:proofErr w:type="gramEnd"/>
      <w:r w:rsidRPr="003F75B7">
        <w:rPr>
          <w:rFonts w:ascii="Bookman Old Style" w:eastAsia="Bookman Old Style" w:hAnsi="Bookman Old Style" w:cs="Bookman Old Style"/>
        </w:rPr>
        <w:t xml:space="preserve"> causa à inexecução total do contrato;</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deixar</w:t>
      </w:r>
      <w:proofErr w:type="gramEnd"/>
      <w:r w:rsidRPr="003F75B7">
        <w:rPr>
          <w:rFonts w:ascii="Bookman Old Style" w:eastAsia="Bookman Old Style" w:hAnsi="Bookman Old Style" w:cs="Bookman Old Style"/>
        </w:rPr>
        <w:t xml:space="preserve"> de entregar a documentação exigida para o certame;</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não</w:t>
      </w:r>
      <w:proofErr w:type="gramEnd"/>
      <w:r w:rsidRPr="003F75B7">
        <w:rPr>
          <w:rFonts w:ascii="Bookman Old Style" w:eastAsia="Bookman Old Style" w:hAnsi="Bookman Old Style" w:cs="Bookman Old Style"/>
        </w:rPr>
        <w:t xml:space="preserve"> mantiver a proposta, salvo em decorrência de fato superveniente devidamente justificado;</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não</w:t>
      </w:r>
      <w:proofErr w:type="gramEnd"/>
      <w:r w:rsidRPr="003F75B7">
        <w:rPr>
          <w:rFonts w:ascii="Bookman Old Style" w:eastAsia="Bookman Old Style" w:hAnsi="Bookman Old Style" w:cs="Bookman Old Style"/>
        </w:rPr>
        <w:t xml:space="preserve"> celebrar o contrato ou não entregar a documentação exigida para a contratação, quando convocado dentro do prazo de validade de sua proposta;</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ensejar</w:t>
      </w:r>
      <w:proofErr w:type="gramEnd"/>
      <w:r w:rsidRPr="003F75B7">
        <w:rPr>
          <w:rFonts w:ascii="Bookman Old Style" w:eastAsia="Bookman Old Style" w:hAnsi="Bookman Old Style" w:cs="Bookman Old Style"/>
        </w:rPr>
        <w:t xml:space="preserve"> o retardamento da execução ou da entrega do objeto da contratação sem motivo justificado;</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apresentar</w:t>
      </w:r>
      <w:proofErr w:type="gramEnd"/>
      <w:r w:rsidRPr="003F75B7">
        <w:rPr>
          <w:rFonts w:ascii="Bookman Old Style" w:eastAsia="Bookman Old Style" w:hAnsi="Bookman Old Style" w:cs="Bookman Old Style"/>
        </w:rPr>
        <w:t xml:space="preserve"> declaração ou documentação falsa exigida para o certame ou prestar declaração falsa durante a dispensa eletrônica ou execução do contrato;</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lastRenderedPageBreak/>
        <w:t>fraudar</w:t>
      </w:r>
      <w:proofErr w:type="gramEnd"/>
      <w:r w:rsidRPr="003F75B7">
        <w:rPr>
          <w:rFonts w:ascii="Bookman Old Style" w:eastAsia="Bookman Old Style" w:hAnsi="Bookman Old Style" w:cs="Bookman Old Style"/>
        </w:rPr>
        <w:t xml:space="preserve"> a contratação ou praticar ato fraudulento na execução do contrato;</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comportar</w:t>
      </w:r>
      <w:proofErr w:type="gramEnd"/>
      <w:r w:rsidRPr="003F75B7">
        <w:rPr>
          <w:rFonts w:ascii="Bookman Old Style" w:eastAsia="Bookman Old Style" w:hAnsi="Bookman Old Style" w:cs="Bookman Old Style"/>
        </w:rPr>
        <w:t>-se de modo inidôneo ou cometer fraude de qualquer natureza;</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praticar</w:t>
      </w:r>
      <w:proofErr w:type="gramEnd"/>
      <w:r w:rsidRPr="003F75B7">
        <w:rPr>
          <w:rFonts w:ascii="Bookman Old Style" w:eastAsia="Bookman Old Style" w:hAnsi="Bookman Old Style" w:cs="Bookman Old Style"/>
        </w:rPr>
        <w:t xml:space="preserve"> atos ilícitos com vistas a frustrar os objetivos do certame;</w:t>
      </w:r>
    </w:p>
    <w:p w:rsidR="003F75B7" w:rsidRPr="003F75B7" w:rsidRDefault="003F75B7" w:rsidP="003F75B7">
      <w:pPr>
        <w:widowControl/>
        <w:numPr>
          <w:ilvl w:val="2"/>
          <w:numId w:val="1"/>
        </w:numPr>
        <w:spacing w:before="120" w:after="120"/>
        <w:ind w:right="-30"/>
        <w:jc w:val="both"/>
        <w:rPr>
          <w:rFonts w:ascii="Bookman Old Style" w:hAnsi="Bookman Old Style"/>
        </w:rPr>
      </w:pPr>
      <w:proofErr w:type="gramStart"/>
      <w:r w:rsidRPr="003F75B7">
        <w:rPr>
          <w:rFonts w:ascii="Bookman Old Style" w:eastAsia="Bookman Old Style" w:hAnsi="Bookman Old Style" w:cs="Bookman Old Style"/>
        </w:rPr>
        <w:t>praticar</w:t>
      </w:r>
      <w:proofErr w:type="gramEnd"/>
      <w:r w:rsidRPr="003F75B7">
        <w:rPr>
          <w:rFonts w:ascii="Bookman Old Style" w:eastAsia="Bookman Old Style" w:hAnsi="Bookman Old Style" w:cs="Bookman Old Style"/>
        </w:rPr>
        <w:t xml:space="preserve"> ato lesivo previsto no art. 5º da Lei nº 12.846, de 1º de agosto de 2013.</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Serão aplicadas ao responsável pelas infrações administrativas acima descritas as seguintes sanções:</w:t>
      </w:r>
    </w:p>
    <w:p w:rsidR="003F75B7" w:rsidRPr="003F75B7" w:rsidRDefault="003F75B7" w:rsidP="003F75B7">
      <w:pPr>
        <w:widowControl/>
        <w:numPr>
          <w:ilvl w:val="2"/>
          <w:numId w:val="16"/>
        </w:numPr>
        <w:spacing w:before="120" w:after="120"/>
        <w:jc w:val="both"/>
        <w:rPr>
          <w:rFonts w:ascii="Bookman Old Style" w:hAnsi="Bookman Old Style"/>
        </w:rPr>
      </w:pPr>
      <w:r w:rsidRPr="003F75B7">
        <w:rPr>
          <w:rFonts w:ascii="Bookman Old Style" w:eastAsia="Bookman Old Style" w:hAnsi="Bookman Old Style" w:cs="Bookman Old Style"/>
          <w:b/>
        </w:rPr>
        <w:t>Advertência</w:t>
      </w:r>
      <w:r w:rsidRPr="003F75B7">
        <w:rPr>
          <w:rFonts w:ascii="Bookman Old Style" w:eastAsia="Bookman Old Style" w:hAnsi="Bookman Old Style" w:cs="Bookman Old Style"/>
        </w:rPr>
        <w:t>, quando o Contratado der causa à inexecução parcial do contrato, sempre que não se justificar a imposição de penalidade mais grave (art. 156, §2º, da Lei);</w:t>
      </w:r>
    </w:p>
    <w:p w:rsidR="003F75B7" w:rsidRPr="003F75B7" w:rsidRDefault="003F75B7" w:rsidP="003F75B7">
      <w:pPr>
        <w:widowControl/>
        <w:numPr>
          <w:ilvl w:val="2"/>
          <w:numId w:val="15"/>
        </w:numPr>
        <w:spacing w:before="120" w:after="120"/>
        <w:jc w:val="both"/>
        <w:rPr>
          <w:rFonts w:ascii="Bookman Old Style" w:hAnsi="Bookman Old Style"/>
        </w:rPr>
      </w:pPr>
      <w:r w:rsidRPr="003F75B7">
        <w:rPr>
          <w:rFonts w:ascii="Bookman Old Style" w:eastAsia="Bookman Old Style" w:hAnsi="Bookman Old Style" w:cs="Bookman Old Style"/>
          <w:b/>
        </w:rPr>
        <w:t>Impedimento de licitar e contratar</w:t>
      </w:r>
      <w:r w:rsidRPr="003F75B7">
        <w:rPr>
          <w:rFonts w:ascii="Bookman Old Style" w:eastAsia="Bookman Old Style" w:hAnsi="Bookman Old Style" w:cs="Bookman Old Style"/>
        </w:rPr>
        <w:t>, quando praticadas as condutas descritas nas alíneas b, c, d, e, f e g do subitem acima deste Contrato, sempre que não se justificar a imposição de penalidade mais grave (art. 156, §4º, da Lei);</w:t>
      </w:r>
    </w:p>
    <w:p w:rsidR="003F75B7" w:rsidRPr="003F75B7" w:rsidRDefault="003F75B7" w:rsidP="003F75B7">
      <w:pPr>
        <w:widowControl/>
        <w:numPr>
          <w:ilvl w:val="2"/>
          <w:numId w:val="15"/>
        </w:numPr>
        <w:spacing w:before="120" w:after="120"/>
        <w:jc w:val="both"/>
        <w:rPr>
          <w:rFonts w:ascii="Bookman Old Style" w:hAnsi="Bookman Old Style"/>
        </w:rPr>
      </w:pPr>
      <w:r w:rsidRPr="003F75B7">
        <w:rPr>
          <w:rFonts w:ascii="Bookman Old Style" w:eastAsia="Bookman Old Style" w:hAnsi="Bookman Old Style" w:cs="Bookman Old Style"/>
          <w:b/>
        </w:rPr>
        <w:t>Declaração de inidoneidade para licitar e contratar</w:t>
      </w:r>
      <w:r w:rsidRPr="003F75B7">
        <w:rPr>
          <w:rFonts w:ascii="Bookman Old Style" w:eastAsia="Bookman Old Style" w:hAnsi="Bookman Old Style" w:cs="Bookman Old Style"/>
        </w:rPr>
        <w:t>, quando praticadas as condutas descritas nas alíneas h, i, j, k e l do subitem acima deste Contrato, bem como nas alíneas b, c, d, e, f e g, que justifiquem a imposição de penalidade mais grave (art. 156, §5º, da Lei)</w:t>
      </w:r>
    </w:p>
    <w:p w:rsidR="003F75B7" w:rsidRPr="003F75B7" w:rsidRDefault="003F75B7" w:rsidP="003F75B7">
      <w:pPr>
        <w:widowControl/>
        <w:numPr>
          <w:ilvl w:val="2"/>
          <w:numId w:val="15"/>
        </w:numPr>
        <w:spacing w:before="120" w:after="120"/>
        <w:jc w:val="both"/>
        <w:rPr>
          <w:rFonts w:ascii="Bookman Old Style" w:hAnsi="Bookman Old Style"/>
        </w:rPr>
      </w:pPr>
      <w:r w:rsidRPr="003F75B7">
        <w:rPr>
          <w:rFonts w:ascii="Bookman Old Style" w:eastAsia="Bookman Old Style" w:hAnsi="Bookman Old Style" w:cs="Bookman Old Style"/>
          <w:b/>
        </w:rPr>
        <w:t>Multa:</w:t>
      </w:r>
    </w:p>
    <w:p w:rsidR="003F75B7" w:rsidRPr="003F75B7" w:rsidRDefault="003F75B7" w:rsidP="003F75B7">
      <w:pPr>
        <w:widowControl/>
        <w:numPr>
          <w:ilvl w:val="3"/>
          <w:numId w:val="22"/>
        </w:numPr>
        <w:spacing w:before="120" w:after="120"/>
        <w:jc w:val="both"/>
        <w:rPr>
          <w:rFonts w:ascii="Bookman Old Style" w:hAnsi="Bookman Old Style"/>
        </w:rPr>
      </w:pPr>
      <w:r w:rsidRPr="003F75B7">
        <w:rPr>
          <w:rFonts w:ascii="Bookman Old Style" w:eastAsia="Bookman Old Style" w:hAnsi="Bookman Old Style" w:cs="Bookman Old Style"/>
        </w:rPr>
        <w:t>Moratória de 1% (um por cento) por dia de atraso injustificado sobre o valor da parcela inadimplida, até o limite de 05 (cinco) dias;</w:t>
      </w:r>
    </w:p>
    <w:p w:rsidR="003F75B7" w:rsidRPr="003F75B7" w:rsidRDefault="003F75B7" w:rsidP="003F75B7">
      <w:pPr>
        <w:widowControl/>
        <w:numPr>
          <w:ilvl w:val="3"/>
          <w:numId w:val="15"/>
        </w:numPr>
        <w:spacing w:before="120" w:after="120"/>
        <w:jc w:val="both"/>
        <w:rPr>
          <w:rFonts w:ascii="Bookman Old Style" w:hAnsi="Bookman Old Style"/>
        </w:rPr>
      </w:pPr>
      <w:r w:rsidRPr="003F75B7">
        <w:rPr>
          <w:rFonts w:ascii="Bookman Old Style" w:eastAsia="Bookman Old Style" w:hAnsi="Bookman Old Style" w:cs="Bookman Old Style"/>
          <w:i/>
        </w:rPr>
        <w:t>Compensatória de 10% (dez por cento) sobre o valor do contrato, no caso de inexecução total do contrato.</w:t>
      </w:r>
    </w:p>
    <w:p w:rsidR="003F75B7" w:rsidRPr="003F75B7" w:rsidRDefault="003F75B7" w:rsidP="003F75B7">
      <w:pPr>
        <w:widowControl/>
        <w:numPr>
          <w:ilvl w:val="4"/>
          <w:numId w:val="17"/>
        </w:numPr>
        <w:spacing w:before="120" w:after="120"/>
        <w:jc w:val="both"/>
        <w:rPr>
          <w:rFonts w:ascii="Bookman Old Style" w:hAnsi="Bookman Old Style"/>
        </w:rPr>
      </w:pPr>
      <w:r w:rsidRPr="003F75B7">
        <w:rPr>
          <w:rFonts w:ascii="Bookman Old Style" w:eastAsia="Bookman Old Style" w:hAnsi="Bookman Old Style" w:cs="Bookman Old Style"/>
          <w:i/>
        </w:rPr>
        <w:t xml:space="preserve">O atraso superior a 10(dez) dias autoriza a Administração a promover a rescisão do contrato por descumprimento ou cumprimento irregular de suas cláusulas, conforme dispõe o inciso I do art. 137 da Lei n. 14.133, de 2021. </w:t>
      </w:r>
    </w:p>
    <w:p w:rsidR="003F75B7" w:rsidRPr="003F75B7" w:rsidRDefault="003F75B7" w:rsidP="003F75B7">
      <w:pPr>
        <w:widowControl/>
        <w:numPr>
          <w:ilvl w:val="1"/>
          <w:numId w:val="5"/>
        </w:numPr>
        <w:spacing w:before="120" w:after="120"/>
        <w:ind w:left="0"/>
        <w:jc w:val="both"/>
        <w:rPr>
          <w:rFonts w:ascii="Bookman Old Style" w:hAnsi="Bookman Old Style"/>
        </w:rPr>
      </w:pPr>
      <w:bookmarkStart w:id="1" w:name="_Hlk78351618"/>
      <w:bookmarkEnd w:id="1"/>
      <w:r w:rsidRPr="003F75B7">
        <w:rPr>
          <w:rFonts w:ascii="Bookman Old Style" w:eastAsia="Bookman Old Style" w:hAnsi="Bookman Old Style" w:cs="Bookman Old Style"/>
        </w:rPr>
        <w:t>A aplicação das sanções previstas neste Contrato não exclui, em hipótese alguma, a obrigação de reparação integral do dano causado ao Contratante (art. 156, §9º)</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Todas as sanções previstas neste Contrato poderão ser aplicadas cumulativamente com a multa (art. 156, §7º).</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Antes da aplicação da multa será facultada a defesa do interessado no prazo de 15 (quinze) dias úteis, contado da data de sua intimação (art. 157)</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Previamente ao encaminhamento à cobrança judicial, a multa poderá ser recolhida administrativamente no prazo máximo de </w:t>
      </w:r>
      <w:r w:rsidRPr="003F75B7">
        <w:rPr>
          <w:rFonts w:ascii="Bookman Old Style" w:eastAsia="Bookman Old Style" w:hAnsi="Bookman Old Style" w:cs="Bookman Old Style"/>
          <w:i/>
        </w:rPr>
        <w:t xml:space="preserve">05 (cinco) </w:t>
      </w:r>
      <w:r w:rsidRPr="003F75B7">
        <w:rPr>
          <w:rFonts w:ascii="Bookman Old Style" w:eastAsia="Bookman Old Style" w:hAnsi="Bookman Old Style" w:cs="Bookman Old Style"/>
        </w:rPr>
        <w:t>dias, a contar da data do recebimento da comunicação enviada pela autoridade competente.</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A aplicação das sanções realizar-se-á em processo administrativo que assegure o contraditório e a ampla defesa ao Contratado, observando-se o procedimento previsto no </w:t>
      </w:r>
      <w:r w:rsidRPr="003F75B7">
        <w:rPr>
          <w:rFonts w:ascii="Bookman Old Style" w:eastAsia="Bookman Old Style" w:hAnsi="Bookman Old Style" w:cs="Bookman Old Style"/>
          <w:b/>
        </w:rPr>
        <w:t xml:space="preserve">caput </w:t>
      </w:r>
      <w:r w:rsidRPr="003F75B7">
        <w:rPr>
          <w:rFonts w:ascii="Bookman Old Style" w:eastAsia="Bookman Old Style" w:hAnsi="Bookman Old Style" w:cs="Bookman Old Style"/>
        </w:rPr>
        <w:t>e parágrafos do art. 158 da Lei nº 14.133, de 2021, para as penalidades de impedimento de licitar e contratar e de declaração de inidoneidade para licitar ou contratar.</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Na aplicação das sanções serão considerados (art. 156, §1º</w:t>
      </w:r>
      <w:proofErr w:type="gramStart"/>
      <w:r w:rsidRPr="003F75B7">
        <w:rPr>
          <w:rFonts w:ascii="Bookman Old Style" w:eastAsia="Bookman Old Style" w:hAnsi="Bookman Old Style" w:cs="Bookman Old Style"/>
        </w:rPr>
        <w:t>) :</w:t>
      </w:r>
      <w:proofErr w:type="gramEnd"/>
    </w:p>
    <w:p w:rsidR="003F75B7" w:rsidRPr="003F75B7" w:rsidRDefault="003F75B7" w:rsidP="003F75B7">
      <w:pPr>
        <w:widowControl/>
        <w:numPr>
          <w:ilvl w:val="0"/>
          <w:numId w:val="21"/>
        </w:numPr>
        <w:spacing w:before="120" w:after="120"/>
        <w:jc w:val="both"/>
        <w:rPr>
          <w:rFonts w:ascii="Bookman Old Style" w:hAnsi="Bookman Old Style"/>
        </w:rPr>
      </w:pPr>
      <w:proofErr w:type="gramStart"/>
      <w:r w:rsidRPr="003F75B7">
        <w:rPr>
          <w:rFonts w:ascii="Bookman Old Style" w:eastAsia="Bookman Old Style" w:hAnsi="Bookman Old Style" w:cs="Bookman Old Style"/>
        </w:rPr>
        <w:t>a</w:t>
      </w:r>
      <w:proofErr w:type="gramEnd"/>
      <w:r w:rsidRPr="003F75B7">
        <w:rPr>
          <w:rFonts w:ascii="Bookman Old Style" w:eastAsia="Bookman Old Style" w:hAnsi="Bookman Old Style" w:cs="Bookman Old Style"/>
        </w:rPr>
        <w:t xml:space="preserve"> natureza e a gravidade da infração cometida;</w:t>
      </w:r>
    </w:p>
    <w:p w:rsidR="003F75B7" w:rsidRPr="003F75B7" w:rsidRDefault="003F75B7" w:rsidP="003F75B7">
      <w:pPr>
        <w:widowControl/>
        <w:numPr>
          <w:ilvl w:val="0"/>
          <w:numId w:val="20"/>
        </w:numPr>
        <w:spacing w:before="120" w:after="120"/>
        <w:jc w:val="both"/>
        <w:rPr>
          <w:rFonts w:ascii="Bookman Old Style" w:hAnsi="Bookman Old Style"/>
        </w:rPr>
      </w:pPr>
      <w:proofErr w:type="gramStart"/>
      <w:r w:rsidRPr="003F75B7">
        <w:rPr>
          <w:rFonts w:ascii="Bookman Old Style" w:eastAsia="Bookman Old Style" w:hAnsi="Bookman Old Style" w:cs="Bookman Old Style"/>
        </w:rPr>
        <w:t>as</w:t>
      </w:r>
      <w:proofErr w:type="gramEnd"/>
      <w:r w:rsidRPr="003F75B7">
        <w:rPr>
          <w:rFonts w:ascii="Bookman Old Style" w:eastAsia="Bookman Old Style" w:hAnsi="Bookman Old Style" w:cs="Bookman Old Style"/>
        </w:rPr>
        <w:t xml:space="preserve"> peculiaridades do caso concreto;</w:t>
      </w:r>
    </w:p>
    <w:p w:rsidR="003F75B7" w:rsidRPr="003F75B7" w:rsidRDefault="003F75B7" w:rsidP="003F75B7">
      <w:pPr>
        <w:widowControl/>
        <w:numPr>
          <w:ilvl w:val="0"/>
          <w:numId w:val="20"/>
        </w:numPr>
        <w:spacing w:before="120" w:after="120"/>
        <w:jc w:val="both"/>
        <w:rPr>
          <w:rFonts w:ascii="Bookman Old Style" w:hAnsi="Bookman Old Style"/>
        </w:rPr>
      </w:pPr>
      <w:proofErr w:type="gramStart"/>
      <w:r w:rsidRPr="003F75B7">
        <w:rPr>
          <w:rFonts w:ascii="Bookman Old Style" w:eastAsia="Bookman Old Style" w:hAnsi="Bookman Old Style" w:cs="Bookman Old Style"/>
        </w:rPr>
        <w:t>as</w:t>
      </w:r>
      <w:proofErr w:type="gramEnd"/>
      <w:r w:rsidRPr="003F75B7">
        <w:rPr>
          <w:rFonts w:ascii="Bookman Old Style" w:eastAsia="Bookman Old Style" w:hAnsi="Bookman Old Style" w:cs="Bookman Old Style"/>
        </w:rPr>
        <w:t xml:space="preserve"> circunstâncias agravantes ou atenuantes;</w:t>
      </w:r>
    </w:p>
    <w:p w:rsidR="003F75B7" w:rsidRPr="003F75B7" w:rsidRDefault="003F75B7" w:rsidP="003F75B7">
      <w:pPr>
        <w:widowControl/>
        <w:numPr>
          <w:ilvl w:val="0"/>
          <w:numId w:val="20"/>
        </w:numPr>
        <w:spacing w:before="120" w:after="120"/>
        <w:jc w:val="both"/>
        <w:rPr>
          <w:rFonts w:ascii="Bookman Old Style" w:hAnsi="Bookman Old Style"/>
        </w:rPr>
      </w:pPr>
      <w:proofErr w:type="gramStart"/>
      <w:r w:rsidRPr="003F75B7">
        <w:rPr>
          <w:rFonts w:ascii="Bookman Old Style" w:eastAsia="Bookman Old Style" w:hAnsi="Bookman Old Style" w:cs="Bookman Old Style"/>
        </w:rPr>
        <w:t>os</w:t>
      </w:r>
      <w:proofErr w:type="gramEnd"/>
      <w:r w:rsidRPr="003F75B7">
        <w:rPr>
          <w:rFonts w:ascii="Bookman Old Style" w:eastAsia="Bookman Old Style" w:hAnsi="Bookman Old Style" w:cs="Bookman Old Style"/>
        </w:rPr>
        <w:t xml:space="preserve"> danos que dela provierem para o Contratante;</w:t>
      </w:r>
    </w:p>
    <w:p w:rsidR="003F75B7" w:rsidRPr="003F75B7" w:rsidRDefault="003F75B7" w:rsidP="003F75B7">
      <w:pPr>
        <w:widowControl/>
        <w:numPr>
          <w:ilvl w:val="0"/>
          <w:numId w:val="20"/>
        </w:numPr>
        <w:spacing w:before="120" w:after="120"/>
        <w:jc w:val="both"/>
        <w:rPr>
          <w:rFonts w:ascii="Bookman Old Style" w:hAnsi="Bookman Old Style"/>
        </w:rPr>
      </w:pPr>
      <w:proofErr w:type="gramStart"/>
      <w:r w:rsidRPr="003F75B7">
        <w:rPr>
          <w:rFonts w:ascii="Bookman Old Style" w:eastAsia="Bookman Old Style" w:hAnsi="Bookman Old Style" w:cs="Bookman Old Style"/>
        </w:rPr>
        <w:t>a</w:t>
      </w:r>
      <w:proofErr w:type="gramEnd"/>
      <w:r w:rsidRPr="003F75B7">
        <w:rPr>
          <w:rFonts w:ascii="Bookman Old Style" w:eastAsia="Bookman Old Style" w:hAnsi="Bookman Old Style" w:cs="Bookman Old Style"/>
        </w:rPr>
        <w:t xml:space="preserve"> implantação ou o aperfeiçoamento de programa de integridade, conforme normas e orientações dos órgãos de controle.</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3F75B7">
        <w:rPr>
          <w:rFonts w:ascii="Bookman Old Style" w:eastAsia="Bookman Old Style" w:hAnsi="Bookman Old Style" w:cs="Bookman Old Style"/>
        </w:rPr>
        <w:t>Ceis</w:t>
      </w:r>
      <w:proofErr w:type="spellEnd"/>
      <w:r w:rsidRPr="003F75B7">
        <w:rPr>
          <w:rFonts w:ascii="Bookman Old Style" w:eastAsia="Bookman Old Style" w:hAnsi="Bookman Old Style" w:cs="Bookman Old Style"/>
        </w:rPr>
        <w:t>) e no Cadastro Nacional de Empresas Punidas (</w:t>
      </w:r>
      <w:proofErr w:type="spellStart"/>
      <w:r w:rsidRPr="003F75B7">
        <w:rPr>
          <w:rFonts w:ascii="Bookman Old Style" w:eastAsia="Bookman Old Style" w:hAnsi="Bookman Old Style" w:cs="Bookman Old Style"/>
        </w:rPr>
        <w:t>Cnep</w:t>
      </w:r>
      <w:proofErr w:type="spellEnd"/>
      <w:r w:rsidRPr="003F75B7">
        <w:rPr>
          <w:rFonts w:ascii="Bookman Old Style" w:eastAsia="Bookman Old Style" w:hAnsi="Bookman Old Style" w:cs="Bookman Old Style"/>
        </w:rPr>
        <w:t>), instituídos no âmbito do Poder Executivo Federal. (Art. 161)</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As sanções de impedimento de licitar e contratar e declaração de inidoneidade para licitar ou contratar são passíveis de reabilitação na forma do art. 163 da Lei nº 14.133/21.</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rPr>
        <w:t>CLÁUSULA DÉCIMA– DA EXTINÇÃO CONTRATUAL (art. 92, XIX)</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O contrato se extingue quando cumpridas as obrigações de ambas as partes, ainda que isso ocorra antes do prazo estipulado para tanto.</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Se as obrigações não forem cumpridas no prazo estipulado, a vigência ficará prorrogada até a conclusão do objeto, caso em que deverá a Administração providenciar a readequação do cronograma fixado para o contrato.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Quando a não conclusão do contrato referida no item anterior decorrer de culpa do contratado:</w:t>
      </w:r>
    </w:p>
    <w:p w:rsidR="003F75B7" w:rsidRPr="003F75B7" w:rsidRDefault="003F75B7" w:rsidP="003F75B7">
      <w:pPr>
        <w:widowControl/>
        <w:numPr>
          <w:ilvl w:val="0"/>
          <w:numId w:val="19"/>
        </w:numPr>
        <w:spacing w:after="165"/>
        <w:jc w:val="both"/>
        <w:rPr>
          <w:rFonts w:ascii="Bookman Old Style" w:hAnsi="Bookman Old Style"/>
        </w:rPr>
      </w:pPr>
      <w:proofErr w:type="gramStart"/>
      <w:r w:rsidRPr="003F75B7">
        <w:rPr>
          <w:rFonts w:ascii="Bookman Old Style" w:eastAsia="Bookman Old Style" w:hAnsi="Bookman Old Style" w:cs="Bookman Old Style"/>
        </w:rPr>
        <w:t>ficará</w:t>
      </w:r>
      <w:proofErr w:type="gramEnd"/>
      <w:r w:rsidRPr="003F75B7">
        <w:rPr>
          <w:rFonts w:ascii="Bookman Old Style" w:eastAsia="Bookman Old Style" w:hAnsi="Bookman Old Style" w:cs="Bookman Old Style"/>
        </w:rPr>
        <w:t xml:space="preserve"> ele constituído em mora, sendo-lhe aplicáveis as respectivas sanções administrativas; e  </w:t>
      </w:r>
    </w:p>
    <w:p w:rsidR="003F75B7" w:rsidRPr="003F75B7" w:rsidRDefault="003F75B7" w:rsidP="003F75B7">
      <w:pPr>
        <w:widowControl/>
        <w:numPr>
          <w:ilvl w:val="0"/>
          <w:numId w:val="18"/>
        </w:numPr>
        <w:spacing w:after="165"/>
        <w:jc w:val="both"/>
        <w:rPr>
          <w:rFonts w:ascii="Bookman Old Style" w:hAnsi="Bookman Old Style"/>
        </w:rPr>
      </w:pPr>
      <w:proofErr w:type="gramStart"/>
      <w:r w:rsidRPr="003F75B7">
        <w:rPr>
          <w:rFonts w:ascii="Bookman Old Style" w:eastAsia="Bookman Old Style" w:hAnsi="Bookman Old Style" w:cs="Bookman Old Style"/>
        </w:rPr>
        <w:t>poderá</w:t>
      </w:r>
      <w:proofErr w:type="gramEnd"/>
      <w:r w:rsidRPr="003F75B7">
        <w:rPr>
          <w:rFonts w:ascii="Bookman Old Style" w:eastAsia="Bookman Old Style" w:hAnsi="Bookman Old Style" w:cs="Bookman Old Style"/>
        </w:rPr>
        <w:t xml:space="preserve"> a Administração optar pela extinção do contrato e, nesse caso, adotará as medidas admitidas em lei para a continuidade da execução contratual.</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O contrato pode ser extinto antes de cumpridas as obrigações nele estipuladas, ou antes do prazo nele fixado, por algum dos motivos previstos no artigo 137 da Lei nº 14.133/21, bem como amigavelmente, </w:t>
      </w:r>
      <w:r w:rsidRPr="003F75B7">
        <w:rPr>
          <w:rFonts w:ascii="Bookman Old Style" w:eastAsia="Bookman Old Style" w:hAnsi="Bookman Old Style" w:cs="Bookman Old Style"/>
          <w:color w:val="000000"/>
        </w:rPr>
        <w:t>assegurados o contraditório e a ampla defesa</w:t>
      </w:r>
      <w:r w:rsidRPr="003F75B7">
        <w:rPr>
          <w:rFonts w:ascii="Bookman Old Style" w:eastAsia="Times New Roman" w:hAnsi="Bookman Old Style" w:cs="Times New Roman"/>
        </w:rPr>
        <w:t>.</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Nesta hipótese, aplicam-se também os artigos 138 e 139 da mesma Lei.</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 xml:space="preserve">A </w:t>
      </w:r>
      <w:r w:rsidRPr="003F75B7">
        <w:rPr>
          <w:rFonts w:ascii="Bookman Old Style" w:eastAsia="Bookman Old Style" w:hAnsi="Bookman Old Style" w:cs="Bookman Old Style"/>
          <w:color w:val="000000"/>
        </w:rPr>
        <w:t>alteração social ou a modificação da finalidade ou da estrutura da empresa</w:t>
      </w:r>
      <w:r w:rsidRPr="003F75B7">
        <w:rPr>
          <w:rFonts w:ascii="Bookman Old Style" w:eastAsia="Bookman Old Style" w:hAnsi="Bookman Old Style" w:cs="Bookman Old Style"/>
        </w:rPr>
        <w:t xml:space="preserve"> não ensejará a rescisão se não </w:t>
      </w:r>
      <w:r w:rsidRPr="003F75B7">
        <w:rPr>
          <w:rFonts w:ascii="Bookman Old Style" w:eastAsia="Bookman Old Style" w:hAnsi="Bookman Old Style" w:cs="Bookman Old Style"/>
          <w:color w:val="000000"/>
        </w:rPr>
        <w:t>restringir sua capacidade de concluir o contrato.</w:t>
      </w:r>
    </w:p>
    <w:p w:rsidR="003F75B7" w:rsidRPr="003F75B7" w:rsidRDefault="003F75B7" w:rsidP="003F75B7">
      <w:pPr>
        <w:widowControl/>
        <w:numPr>
          <w:ilvl w:val="3"/>
          <w:numId w:val="13"/>
        </w:numPr>
        <w:spacing w:before="120" w:after="120"/>
        <w:jc w:val="both"/>
        <w:rPr>
          <w:rFonts w:ascii="Bookman Old Style" w:hAnsi="Bookman Old Style"/>
        </w:rPr>
      </w:pPr>
      <w:r w:rsidRPr="003F75B7">
        <w:rPr>
          <w:rFonts w:ascii="Bookman Old Style" w:eastAsia="Bookman Old Style" w:hAnsi="Bookman Old Style" w:cs="Bookman Old Style"/>
          <w:color w:val="000000"/>
        </w:rPr>
        <w:t xml:space="preserve">Se a operação </w:t>
      </w:r>
      <w:r w:rsidRPr="003F75B7">
        <w:rPr>
          <w:rFonts w:ascii="Bookman Old Style" w:eastAsia="Bookman Old Style" w:hAnsi="Bookman Old Style" w:cs="Bookman Old Style"/>
        </w:rPr>
        <w:t>implicar mudança da pessoa jurídica contratada, deverá ser formalizado termo aditivo para alteração subjetiva.</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O termo de rescisão, sempre que possível, será precedido:</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Balanço dos eventos contratuais já cumpridos ou parcialmente cumpridos;</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Relação dos pagamentos já efetuados e ainda devidos;</w:t>
      </w:r>
    </w:p>
    <w:p w:rsidR="003F75B7" w:rsidRPr="003F75B7" w:rsidRDefault="003F75B7" w:rsidP="003F75B7">
      <w:pPr>
        <w:widowControl/>
        <w:numPr>
          <w:ilvl w:val="2"/>
          <w:numId w:val="5"/>
        </w:numPr>
        <w:spacing w:before="120" w:after="120"/>
        <w:jc w:val="both"/>
        <w:rPr>
          <w:rFonts w:ascii="Bookman Old Style" w:hAnsi="Bookman Old Style"/>
        </w:rPr>
      </w:pPr>
      <w:r w:rsidRPr="003F75B7">
        <w:rPr>
          <w:rFonts w:ascii="Bookman Old Style" w:eastAsia="Bookman Old Style" w:hAnsi="Bookman Old Style" w:cs="Bookman Old Style"/>
        </w:rPr>
        <w:t>Indenizações e multas.</w:t>
      </w:r>
    </w:p>
    <w:p w:rsidR="003F75B7" w:rsidRPr="003F75B7" w:rsidRDefault="003F75B7" w:rsidP="003F75B7">
      <w:pPr>
        <w:keepNext/>
        <w:keepLines/>
        <w:widowControl/>
        <w:numPr>
          <w:ilvl w:val="0"/>
          <w:numId w:val="5"/>
        </w:numPr>
        <w:tabs>
          <w:tab w:val="left" w:pos="570"/>
        </w:tabs>
        <w:spacing w:before="240"/>
        <w:jc w:val="both"/>
        <w:outlineLvl w:val="0"/>
        <w:rPr>
          <w:rFonts w:ascii="Bookman Old Style" w:hAnsi="Bookman Old Style"/>
        </w:rPr>
      </w:pPr>
      <w:r w:rsidRPr="003F75B7">
        <w:rPr>
          <w:rFonts w:ascii="Bookman Old Style" w:eastAsia="Bookman Old Style" w:hAnsi="Bookman Old Style" w:cs="Bookman Old Style"/>
          <w:b/>
          <w:color w:val="000000"/>
        </w:rPr>
        <w:t>CLÁUSULA DÉCIMA PRIMEIRA – DOTAÇÃO ORÇAMENTÁRIA (art. 92, VIII)</w:t>
      </w:r>
    </w:p>
    <w:p w:rsidR="003F75B7" w:rsidRPr="003F75B7" w:rsidRDefault="003F75B7" w:rsidP="003F75B7">
      <w:pPr>
        <w:widowControl/>
        <w:numPr>
          <w:ilvl w:val="1"/>
          <w:numId w:val="14"/>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As despesas decorrentes da presente contratação correrão à conta de recursos específicos consignados no Orçamento da </w:t>
      </w:r>
      <w:r w:rsidRPr="003F75B7">
        <w:rPr>
          <w:rFonts w:ascii="Bookman Old Style" w:eastAsia="Bookman Old Style" w:hAnsi="Bookman Old Style" w:cs="Bookman Old Style"/>
          <w:color w:val="000000"/>
        </w:rPr>
        <w:t xml:space="preserve">DEPTO DE ADMINISTRAÇÃO, REC HUMANOS, COMPRAS E PATRIMONIO </w:t>
      </w:r>
      <w:r w:rsidRPr="003F75B7">
        <w:rPr>
          <w:rFonts w:ascii="Bookman Old Style" w:eastAsia="Bookman Old Style" w:hAnsi="Bookman Old Style" w:cs="Bookman Old Style"/>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9"/>
        <w:gridCol w:w="1540"/>
        <w:gridCol w:w="2309"/>
        <w:gridCol w:w="1540"/>
        <w:gridCol w:w="1847"/>
        <w:gridCol w:w="1375"/>
      </w:tblGrid>
      <w:tr w:rsidR="003F75B7" w:rsidRPr="003F75B7" w:rsidTr="00FF4452">
        <w:tc>
          <w:tcPr>
            <w:tcW w:w="9622" w:type="dxa"/>
            <w:gridSpan w:val="6"/>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Dotações</w:t>
            </w:r>
          </w:p>
        </w:tc>
      </w:tr>
      <w:tr w:rsidR="003F75B7" w:rsidRPr="003F75B7" w:rsidTr="00FF4452">
        <w:tc>
          <w:tcPr>
            <w:tcW w:w="1693" w:type="dxa"/>
            <w:shd w:val="clear" w:color="auto" w:fill="C0C0C0"/>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Exercício da despesa</w:t>
            </w:r>
          </w:p>
        </w:tc>
        <w:tc>
          <w:tcPr>
            <w:tcW w:w="1418" w:type="dxa"/>
            <w:shd w:val="clear" w:color="auto" w:fill="C0C0C0"/>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Conta da despesa</w:t>
            </w:r>
          </w:p>
        </w:tc>
        <w:tc>
          <w:tcPr>
            <w:tcW w:w="2126" w:type="dxa"/>
            <w:shd w:val="clear" w:color="auto" w:fill="C0C0C0"/>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Funcional programática</w:t>
            </w:r>
          </w:p>
        </w:tc>
        <w:tc>
          <w:tcPr>
            <w:tcW w:w="1418" w:type="dxa"/>
            <w:shd w:val="clear" w:color="auto" w:fill="C0C0C0"/>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Fonte de recurso</w:t>
            </w:r>
          </w:p>
        </w:tc>
        <w:tc>
          <w:tcPr>
            <w:tcW w:w="1701" w:type="dxa"/>
            <w:shd w:val="clear" w:color="auto" w:fill="C0C0C0"/>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Natureza da despesa</w:t>
            </w:r>
          </w:p>
        </w:tc>
        <w:tc>
          <w:tcPr>
            <w:tcW w:w="1266" w:type="dxa"/>
            <w:shd w:val="clear" w:color="auto" w:fill="C0C0C0"/>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Grupo da fonte</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430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04.011.04.122.0403.2009</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680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05.002.15.451.2602.2012</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1020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05.005.18.541.2602.2016</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1230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05.005.26.782.2601.2019</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1360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05.005.26.782.2601.2020</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2770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08.001.10.301.1001.2040</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3180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09.001.08.244.0801.2046</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r w:rsidR="003F75B7" w:rsidRPr="003F75B7" w:rsidTr="00FF4452">
        <w:tc>
          <w:tcPr>
            <w:tcW w:w="1693"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2023</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4010</w:t>
            </w:r>
          </w:p>
        </w:tc>
        <w:tc>
          <w:tcPr>
            <w:tcW w:w="212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11.004.20.606.2001.2056</w:t>
            </w:r>
          </w:p>
        </w:tc>
        <w:tc>
          <w:tcPr>
            <w:tcW w:w="1418"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0</w:t>
            </w:r>
          </w:p>
        </w:tc>
        <w:tc>
          <w:tcPr>
            <w:tcW w:w="1701"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3.3.90.30.00.00</w:t>
            </w:r>
          </w:p>
        </w:tc>
        <w:tc>
          <w:tcPr>
            <w:tcW w:w="1266" w:type="dxa"/>
            <w:shd w:val="clear" w:color="auto" w:fill="FFFFFF"/>
          </w:tcPr>
          <w:p w:rsidR="003F75B7" w:rsidRPr="003F75B7" w:rsidRDefault="003F75B7" w:rsidP="00FF4452">
            <w:pPr>
              <w:rPr>
                <w:rFonts w:ascii="Bookman Old Style" w:hAnsi="Bookman Old Style"/>
                <w:sz w:val="16"/>
                <w:szCs w:val="16"/>
              </w:rPr>
            </w:pPr>
            <w:r w:rsidRPr="003F75B7">
              <w:rPr>
                <w:rFonts w:ascii="Bookman Old Style" w:hAnsi="Bookman Old Style"/>
                <w:sz w:val="16"/>
                <w:szCs w:val="16"/>
              </w:rPr>
              <w:t>Do Exercício</w:t>
            </w:r>
          </w:p>
        </w:tc>
      </w:tr>
    </w:tbl>
    <w:p w:rsidR="003F75B7" w:rsidRPr="003F75B7" w:rsidRDefault="003F75B7" w:rsidP="003F75B7">
      <w:pPr>
        <w:keepNext/>
        <w:keepLines/>
        <w:widowControl/>
        <w:numPr>
          <w:ilvl w:val="0"/>
          <w:numId w:val="5"/>
        </w:numPr>
        <w:spacing w:before="240"/>
        <w:jc w:val="both"/>
        <w:outlineLvl w:val="0"/>
        <w:rPr>
          <w:rFonts w:ascii="Bookman Old Style" w:hAnsi="Bookman Old Style"/>
        </w:rPr>
      </w:pPr>
      <w:r w:rsidRPr="003F75B7">
        <w:rPr>
          <w:rFonts w:ascii="Bookman Old Style" w:eastAsia="Bookman Old Style" w:hAnsi="Bookman Old Style" w:cs="Bookman Old Style"/>
          <w:b/>
          <w:color w:val="000000"/>
        </w:rPr>
        <w:lastRenderedPageBreak/>
        <w:t xml:space="preserve">CLÁUSULA DÉCIMA SEGUNDA – DOS CASOS OMISSOS (art. 92, III) </w:t>
      </w:r>
      <w:r w:rsidRPr="003F75B7">
        <w:rPr>
          <w:rFonts w:ascii="Bookman Old Style" w:eastAsia="Bookman Old Style" w:hAnsi="Bookman Old Style" w:cs="Bookman Old Style"/>
          <w:b/>
        </w:rPr>
        <w:t>CASOS OMISSOS (art. 92, III)</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3F75B7" w:rsidRPr="003F75B7" w:rsidRDefault="003F75B7" w:rsidP="003F75B7">
      <w:pPr>
        <w:keepNext/>
        <w:keepLines/>
        <w:widowControl/>
        <w:numPr>
          <w:ilvl w:val="0"/>
          <w:numId w:val="5"/>
        </w:numPr>
        <w:spacing w:before="240"/>
        <w:jc w:val="both"/>
        <w:outlineLvl w:val="0"/>
        <w:rPr>
          <w:rFonts w:ascii="Bookman Old Style" w:hAnsi="Bookman Old Style"/>
        </w:rPr>
      </w:pPr>
      <w:r w:rsidRPr="003F75B7">
        <w:rPr>
          <w:rFonts w:ascii="Bookman Old Style" w:eastAsia="Bookman Old Style" w:hAnsi="Bookman Old Style" w:cs="Bookman Old Style"/>
          <w:b/>
        </w:rPr>
        <w:t>CLÁUSULA DÉCIMA TERCEIRA – ALTERAÇÕES</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Eventuais alterações contratuais reger-se-ão pela disciplina dos </w:t>
      </w:r>
      <w:proofErr w:type="spellStart"/>
      <w:r w:rsidRPr="003F75B7">
        <w:rPr>
          <w:rFonts w:ascii="Bookman Old Style" w:eastAsia="Bookman Old Style" w:hAnsi="Bookman Old Style" w:cs="Bookman Old Style"/>
        </w:rPr>
        <w:t>arts</w:t>
      </w:r>
      <w:proofErr w:type="spellEnd"/>
      <w:r w:rsidRPr="003F75B7">
        <w:rPr>
          <w:rFonts w:ascii="Bookman Old Style" w:eastAsia="Bookman Old Style" w:hAnsi="Bookman Old Style" w:cs="Bookman Old Style"/>
        </w:rPr>
        <w:t>. 124 e seguintes da Lei nº 14.133, de 2021.</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O Contratado é obrigado a aceitar, nas mesmas condições contratuais, os acréscimos ou supressões que se fizerem necessários, até o limite de 25% (vinte e cinco por cento) do valor inicial atualizado do contrato.</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Registros que não caracterizam alteração do contrato podem ser realizados por simples apostila, dispensada a celebração de termo aditivo, na forma do art. 136 da Lei nº 14.133, de 2021.</w:t>
      </w:r>
    </w:p>
    <w:p w:rsidR="003F75B7" w:rsidRPr="003F75B7" w:rsidRDefault="003F75B7" w:rsidP="003F75B7">
      <w:pPr>
        <w:keepNext/>
        <w:keepLines/>
        <w:widowControl/>
        <w:numPr>
          <w:ilvl w:val="0"/>
          <w:numId w:val="5"/>
        </w:numPr>
        <w:spacing w:before="240"/>
        <w:jc w:val="both"/>
        <w:outlineLvl w:val="0"/>
        <w:rPr>
          <w:rFonts w:ascii="Bookman Old Style" w:hAnsi="Bookman Old Style"/>
        </w:rPr>
      </w:pPr>
      <w:r w:rsidRPr="003F75B7">
        <w:rPr>
          <w:rFonts w:ascii="Bookman Old Style" w:eastAsia="Bookman Old Style" w:hAnsi="Bookman Old Style" w:cs="Bookman Old Style"/>
          <w:b/>
        </w:rPr>
        <w:t>CLÁUSULA DÉCIMA QUARTA – PUBLICAÇÃO</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Incumbirá ao Contratante providenciar a publicação deste instrumento nos termos e condições previstas na Lei nº 14.133/21.</w:t>
      </w:r>
    </w:p>
    <w:p w:rsidR="003F75B7" w:rsidRPr="003F75B7" w:rsidRDefault="003F75B7" w:rsidP="003F75B7">
      <w:pPr>
        <w:keepNext/>
        <w:keepLines/>
        <w:widowControl/>
        <w:numPr>
          <w:ilvl w:val="0"/>
          <w:numId w:val="5"/>
        </w:numPr>
        <w:spacing w:before="240"/>
        <w:jc w:val="both"/>
        <w:outlineLvl w:val="0"/>
        <w:rPr>
          <w:rFonts w:ascii="Bookman Old Style" w:hAnsi="Bookman Old Style"/>
        </w:rPr>
      </w:pPr>
      <w:r w:rsidRPr="003F75B7">
        <w:rPr>
          <w:rFonts w:ascii="Bookman Old Style" w:eastAsia="Bookman Old Style" w:hAnsi="Bookman Old Style" w:cs="Bookman Old Style"/>
          <w:b/>
        </w:rPr>
        <w:t>CLÁUSULA DÉCIMA QUINTA – FORO (art. 92, §1º)</w:t>
      </w:r>
    </w:p>
    <w:p w:rsidR="003F75B7" w:rsidRPr="003F75B7" w:rsidRDefault="003F75B7" w:rsidP="003F75B7">
      <w:pPr>
        <w:widowControl/>
        <w:numPr>
          <w:ilvl w:val="1"/>
          <w:numId w:val="5"/>
        </w:numPr>
        <w:spacing w:before="120" w:after="120"/>
        <w:ind w:left="0"/>
        <w:jc w:val="both"/>
        <w:rPr>
          <w:rFonts w:ascii="Bookman Old Style" w:hAnsi="Bookman Old Style"/>
        </w:rPr>
      </w:pPr>
      <w:r w:rsidRPr="003F75B7">
        <w:rPr>
          <w:rFonts w:ascii="Bookman Old Style" w:eastAsia="Bookman Old Style" w:hAnsi="Bookman Old Style" w:cs="Bookman Old Style"/>
        </w:rPr>
        <w:t xml:space="preserve"> É eleito o Foro da Comarca de Santo Antonio do Sudoeste – PR, para dirimir os litígios que decorrerem da execução deste Termo de Contrato que não possam ser compostos pela conciliação, conforme art. 92, §1º da Lei nº 14.133/21.</w:t>
      </w:r>
    </w:p>
    <w:p w:rsidR="003F75B7" w:rsidRPr="003F75B7" w:rsidRDefault="003F75B7" w:rsidP="003F75B7">
      <w:pPr>
        <w:widowControl/>
        <w:spacing w:after="120"/>
        <w:ind w:right="-15"/>
        <w:jc w:val="both"/>
        <w:rPr>
          <w:rFonts w:ascii="Bookman Old Style" w:hAnsi="Bookman Old Style"/>
        </w:rPr>
      </w:pPr>
      <w:r>
        <w:rPr>
          <w:rFonts w:ascii="Bookman Old Style" w:eastAsia="Bookman Old Style" w:hAnsi="Bookman Old Style" w:cs="Bookman Old Style"/>
        </w:rPr>
        <w:t>Santo Antonio do Sudoeste – PR, 11 de dezembro</w:t>
      </w:r>
      <w:r w:rsidRPr="003F75B7">
        <w:rPr>
          <w:rFonts w:ascii="Bookman Old Style" w:eastAsia="Bookman Old Style" w:hAnsi="Bookman Old Style" w:cs="Bookman Old Style"/>
        </w:rPr>
        <w:t xml:space="preserve"> de 2023</w:t>
      </w:r>
      <w:r>
        <w:rPr>
          <w:rFonts w:ascii="Bookman Old Style" w:eastAsia="Bookman Old Style" w:hAnsi="Bookman Old Style" w:cs="Bookman Old Style"/>
        </w:rPr>
        <w:t>.</w:t>
      </w:r>
    </w:p>
    <w:p w:rsidR="003F75B7" w:rsidRPr="003F75B7" w:rsidRDefault="003F75B7" w:rsidP="003F75B7">
      <w:pPr>
        <w:widowControl/>
        <w:spacing w:after="120"/>
        <w:jc w:val="both"/>
        <w:rPr>
          <w:rFonts w:ascii="Bookman Old Style" w:hAnsi="Bookman Old Style"/>
        </w:rPr>
      </w:pPr>
    </w:p>
    <w:p w:rsidR="006B0418" w:rsidRDefault="006B0418" w:rsidP="003F75B7">
      <w:pPr>
        <w:jc w:val="center"/>
        <w:rPr>
          <w:rFonts w:ascii="Bookman Old Style" w:eastAsia="Bookman Old Style" w:hAnsi="Bookman Old Style" w:cs="Bookman Old Style"/>
        </w:rPr>
      </w:pPr>
    </w:p>
    <w:p w:rsidR="003F75B7" w:rsidRDefault="003F75B7" w:rsidP="003F75B7">
      <w:pPr>
        <w:jc w:val="center"/>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w:t>
      </w:r>
    </w:p>
    <w:p w:rsidR="003F75B7" w:rsidRDefault="003F75B7" w:rsidP="003F75B7">
      <w:pPr>
        <w:pStyle w:val="ParagraphStyle"/>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RICARDO ANTONIO ORTINA</w:t>
      </w:r>
    </w:p>
    <w:p w:rsidR="003F75B7" w:rsidRDefault="003F75B7" w:rsidP="003F75B7">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 xml:space="preserve">Prefeito Municipal </w:t>
      </w:r>
    </w:p>
    <w:p w:rsidR="003F75B7" w:rsidRDefault="003F75B7" w:rsidP="003F75B7">
      <w:pPr>
        <w:pStyle w:val="ParagraphStyle"/>
        <w:tabs>
          <w:tab w:val="left" w:pos="6810"/>
        </w:tabs>
        <w:ind w:firstLine="855"/>
        <w:jc w:val="center"/>
        <w:rPr>
          <w:rFonts w:ascii="Bookman Old Style" w:hAnsi="Bookman Old Style" w:cs="Bookman Old Style"/>
          <w:sz w:val="20"/>
          <w:szCs w:val="20"/>
        </w:rPr>
      </w:pPr>
    </w:p>
    <w:p w:rsidR="003F75B7" w:rsidRDefault="003F75B7" w:rsidP="003F75B7">
      <w:pPr>
        <w:pStyle w:val="ParagraphStyle"/>
        <w:tabs>
          <w:tab w:val="left" w:pos="6810"/>
        </w:tabs>
        <w:ind w:firstLine="855"/>
        <w:jc w:val="center"/>
        <w:rPr>
          <w:rFonts w:ascii="Bookman Old Style" w:hAnsi="Bookman Old Style" w:cs="Bookman Old Style"/>
          <w:sz w:val="20"/>
          <w:szCs w:val="20"/>
        </w:rPr>
      </w:pPr>
    </w:p>
    <w:p w:rsidR="003F75B7" w:rsidRDefault="003F75B7" w:rsidP="003F75B7">
      <w:pPr>
        <w:pStyle w:val="ParagraphStyle"/>
        <w:tabs>
          <w:tab w:val="left" w:pos="6810"/>
        </w:tabs>
        <w:ind w:firstLine="855"/>
        <w:jc w:val="center"/>
        <w:rPr>
          <w:rFonts w:ascii="Bookman Old Style" w:hAnsi="Bookman Old Style" w:cs="Bookman Old Style"/>
          <w:sz w:val="20"/>
          <w:szCs w:val="20"/>
        </w:rPr>
      </w:pPr>
    </w:p>
    <w:p w:rsidR="003F75B7" w:rsidRDefault="003F75B7" w:rsidP="003F75B7">
      <w:pPr>
        <w:pStyle w:val="ParagraphStyle"/>
        <w:tabs>
          <w:tab w:val="left" w:pos="6810"/>
        </w:tabs>
        <w:ind w:firstLine="855"/>
        <w:jc w:val="center"/>
        <w:rPr>
          <w:rFonts w:ascii="Bookman Old Style" w:hAnsi="Bookman Old Style" w:cs="Bookman Old Style"/>
          <w:sz w:val="20"/>
          <w:szCs w:val="20"/>
        </w:rPr>
      </w:pPr>
    </w:p>
    <w:p w:rsidR="003F75B7" w:rsidRDefault="003F75B7" w:rsidP="003F75B7">
      <w:pPr>
        <w:pStyle w:val="ParagraphStyle"/>
        <w:tabs>
          <w:tab w:val="left" w:pos="6810"/>
        </w:tabs>
        <w:jc w:val="center"/>
        <w:rPr>
          <w:rFonts w:ascii="Bookman Old Style" w:hAnsi="Bookman Old Style" w:cs="Bookman Old Style"/>
          <w:sz w:val="20"/>
          <w:szCs w:val="20"/>
        </w:rPr>
      </w:pPr>
      <w:r w:rsidRPr="003F75B7">
        <w:rPr>
          <w:rFonts w:ascii="Bookman Old Style" w:hAnsi="Bookman Old Style" w:cs="Bookman Old Style"/>
          <w:sz w:val="20"/>
          <w:szCs w:val="20"/>
        </w:rPr>
        <w:t>_________________________________________</w:t>
      </w:r>
    </w:p>
    <w:p w:rsidR="003F75B7" w:rsidRDefault="003F75B7" w:rsidP="003F75B7">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M.S COMÉRCIO DE COMBUSTÍVEIS LTDA</w:t>
      </w:r>
    </w:p>
    <w:p w:rsidR="003F75B7" w:rsidRDefault="003F75B7" w:rsidP="003F75B7">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CNPJ Nº: 01.581.445/0001-75</w:t>
      </w:r>
    </w:p>
    <w:p w:rsidR="003F75B7" w:rsidRDefault="003F75B7" w:rsidP="003F75B7">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CLAUDIMAR TARCÍSIO MILANI</w:t>
      </w:r>
    </w:p>
    <w:p w:rsidR="003F75B7" w:rsidRDefault="003F75B7" w:rsidP="003F75B7">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CPF Nº: 394.763.169-34</w:t>
      </w:r>
    </w:p>
    <w:p w:rsidR="003F75B7" w:rsidRDefault="003F75B7" w:rsidP="003F75B7">
      <w:pPr>
        <w:pStyle w:val="ParagraphStyle"/>
        <w:tabs>
          <w:tab w:val="left" w:pos="6810"/>
        </w:tabs>
        <w:ind w:firstLine="45"/>
        <w:jc w:val="center"/>
        <w:rPr>
          <w:rFonts w:ascii="Bookman Old Style" w:hAnsi="Bookman Old Style" w:cs="Bookman Old Style"/>
          <w:sz w:val="20"/>
          <w:szCs w:val="20"/>
        </w:rPr>
      </w:pPr>
    </w:p>
    <w:p w:rsidR="003F75B7" w:rsidRDefault="003F75B7" w:rsidP="003F75B7">
      <w:pPr>
        <w:pStyle w:val="ParagraphStyle"/>
        <w:rPr>
          <w:rFonts w:ascii="Bookman Old Style" w:hAnsi="Bookman Old Style" w:cs="Bookman Old Style"/>
          <w:sz w:val="20"/>
          <w:szCs w:val="20"/>
        </w:rPr>
      </w:pPr>
      <w:r>
        <w:rPr>
          <w:rFonts w:ascii="Bookman Old Style" w:hAnsi="Bookman Old Style" w:cs="Bookman Old Style"/>
          <w:sz w:val="20"/>
          <w:szCs w:val="20"/>
        </w:rPr>
        <w:t>Testemunhas:</w:t>
      </w:r>
    </w:p>
    <w:p w:rsidR="003F75B7" w:rsidRDefault="003F75B7" w:rsidP="003F75B7">
      <w:pPr>
        <w:pStyle w:val="ParagraphStyle"/>
        <w:rPr>
          <w:rFonts w:ascii="Bookman Old Style" w:hAnsi="Bookman Old Style" w:cs="Bookman Old Style"/>
          <w:sz w:val="20"/>
          <w:szCs w:val="20"/>
        </w:rPr>
      </w:pPr>
    </w:p>
    <w:p w:rsidR="003F75B7" w:rsidRDefault="003F75B7" w:rsidP="003F75B7">
      <w:pPr>
        <w:pStyle w:val="ParagraphStyle"/>
        <w:jc w:val="center"/>
        <w:rPr>
          <w:rFonts w:ascii="Bookman Old Style" w:hAnsi="Bookman Old Style" w:cs="Bookman Old Style"/>
          <w:sz w:val="20"/>
          <w:szCs w:val="20"/>
        </w:rPr>
      </w:pPr>
      <w:r w:rsidRPr="003F75B7">
        <w:rPr>
          <w:rFonts w:ascii="Bookman Old Style" w:hAnsi="Bookman Old Style" w:cs="Bookman Old Style"/>
          <w:sz w:val="20"/>
          <w:szCs w:val="20"/>
        </w:rPr>
        <w:t>_________________________________________</w:t>
      </w:r>
    </w:p>
    <w:p w:rsidR="003F75B7" w:rsidRDefault="003F75B7" w:rsidP="003F75B7">
      <w:pPr>
        <w:pStyle w:val="ParagraphStyle"/>
        <w:jc w:val="center"/>
        <w:rPr>
          <w:rFonts w:ascii="Bookman Old Style" w:hAnsi="Bookman Old Style" w:cs="Bookman Old Style"/>
          <w:b/>
          <w:bCs/>
          <w:sz w:val="20"/>
          <w:szCs w:val="20"/>
        </w:rPr>
      </w:pPr>
      <w:r>
        <w:rPr>
          <w:rFonts w:ascii="Bookman Old Style" w:hAnsi="Bookman Old Style" w:cs="Bookman Old Style"/>
          <w:b/>
          <w:bCs/>
          <w:sz w:val="20"/>
          <w:szCs w:val="20"/>
        </w:rPr>
        <w:t>FLÁVIA REGINA MAI</w:t>
      </w:r>
    </w:p>
    <w:p w:rsidR="003F75B7" w:rsidRDefault="003F75B7" w:rsidP="003F75B7">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CPF Nº: 078.964.499-19</w:t>
      </w:r>
    </w:p>
    <w:p w:rsidR="003F75B7" w:rsidRDefault="003F75B7" w:rsidP="003F75B7">
      <w:pPr>
        <w:pStyle w:val="ParagraphStyle"/>
        <w:jc w:val="center"/>
        <w:rPr>
          <w:rFonts w:ascii="Bookman Old Style" w:hAnsi="Bookman Old Style" w:cs="Bookman Old Style"/>
          <w:sz w:val="20"/>
          <w:szCs w:val="20"/>
        </w:rPr>
      </w:pPr>
    </w:p>
    <w:p w:rsidR="003F75B7" w:rsidRDefault="003F75B7" w:rsidP="003F75B7">
      <w:pPr>
        <w:pStyle w:val="ParagraphStyle"/>
        <w:jc w:val="center"/>
        <w:rPr>
          <w:rFonts w:ascii="Calibri" w:hAnsi="Calibri" w:cs="Calibri"/>
          <w:sz w:val="22"/>
          <w:szCs w:val="22"/>
        </w:rPr>
      </w:pPr>
    </w:p>
    <w:p w:rsidR="003F75B7" w:rsidRDefault="003F75B7" w:rsidP="003F75B7">
      <w:pPr>
        <w:pStyle w:val="ParagraphStyle"/>
        <w:jc w:val="center"/>
        <w:rPr>
          <w:rFonts w:ascii="Calibri" w:hAnsi="Calibri" w:cs="Calibri"/>
          <w:sz w:val="22"/>
          <w:szCs w:val="22"/>
        </w:rPr>
      </w:pPr>
    </w:p>
    <w:p w:rsidR="003F75B7" w:rsidRDefault="003F75B7" w:rsidP="003F75B7">
      <w:pPr>
        <w:pStyle w:val="ParagraphStyle"/>
        <w:jc w:val="center"/>
        <w:rPr>
          <w:rFonts w:ascii="Bookman Old Style" w:hAnsi="Bookman Old Style" w:cs="Bookman Old Style"/>
          <w:sz w:val="20"/>
          <w:szCs w:val="20"/>
        </w:rPr>
      </w:pPr>
      <w:r w:rsidRPr="003F75B7">
        <w:rPr>
          <w:rFonts w:ascii="Bookman Old Style" w:hAnsi="Bookman Old Style" w:cs="Bookman Old Style"/>
          <w:sz w:val="20"/>
          <w:szCs w:val="20"/>
        </w:rPr>
        <w:t>_________________________________________</w:t>
      </w:r>
    </w:p>
    <w:p w:rsidR="003F75B7" w:rsidRDefault="003F75B7" w:rsidP="003F75B7">
      <w:pPr>
        <w:pStyle w:val="ParagraphStyle"/>
        <w:jc w:val="center"/>
        <w:rPr>
          <w:rFonts w:ascii="Bookman Old Style" w:hAnsi="Bookman Old Style" w:cs="Bookman Old Style"/>
          <w:b/>
          <w:bCs/>
          <w:sz w:val="20"/>
          <w:szCs w:val="20"/>
        </w:rPr>
      </w:pPr>
      <w:r>
        <w:rPr>
          <w:rFonts w:ascii="Bookman Old Style" w:hAnsi="Bookman Old Style" w:cs="Bookman Old Style"/>
          <w:b/>
          <w:bCs/>
          <w:sz w:val="20"/>
          <w:szCs w:val="20"/>
        </w:rPr>
        <w:t>CESAR AUGUSTO ORTEGA</w:t>
      </w:r>
    </w:p>
    <w:p w:rsidR="003F75B7" w:rsidRPr="003F75B7" w:rsidRDefault="003F75B7" w:rsidP="003F75B7">
      <w:pPr>
        <w:jc w:val="center"/>
        <w:rPr>
          <w:rFonts w:ascii="Bookman Old Style" w:hAnsi="Bookman Old Style"/>
        </w:rPr>
      </w:pPr>
      <w:r>
        <w:rPr>
          <w:rFonts w:ascii="Bookman Old Style" w:hAnsi="Bookman Old Style" w:cs="Bookman Old Style"/>
        </w:rPr>
        <w:t>CPF Nº 661.608.719-00</w:t>
      </w:r>
    </w:p>
    <w:sectPr w:rsidR="003F75B7" w:rsidRPr="003F75B7" w:rsidSect="0035686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B7" w:rsidRDefault="003F75B7" w:rsidP="003F75B7">
      <w:r>
        <w:separator/>
      </w:r>
    </w:p>
  </w:endnote>
  <w:endnote w:type="continuationSeparator" w:id="0">
    <w:p w:rsidR="003F75B7" w:rsidRDefault="003F75B7" w:rsidP="003F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B7" w:rsidRDefault="003F75B7" w:rsidP="003F75B7">
      <w:r>
        <w:separator/>
      </w:r>
    </w:p>
  </w:footnote>
  <w:footnote w:type="continuationSeparator" w:id="0">
    <w:p w:rsidR="003F75B7" w:rsidRDefault="003F75B7" w:rsidP="003F7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B7" w:rsidRDefault="003F75B7" w:rsidP="00316640">
    <w:pPr>
      <w:jc w:val="center"/>
      <w:rPr>
        <w:rFonts w:ascii="Bookman Old Style" w:hAnsi="Bookman Old Style"/>
        <w:b/>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3F75B7" w:rsidRDefault="003F75B7" w:rsidP="00316640">
    <w:pPr>
      <w:jc w:val="center"/>
      <w:rPr>
        <w:rFonts w:ascii="Bookman Old Style" w:hAnsi="Bookman Old Style"/>
      </w:rPr>
    </w:pPr>
    <w:r>
      <w:rPr>
        <w:rFonts w:ascii="Bookman Old Style" w:hAnsi="Bookman Old Style"/>
      </w:rPr>
      <w:t>ESTADO DO PARANÁ</w:t>
    </w:r>
  </w:p>
  <w:p w:rsidR="003F75B7" w:rsidRDefault="003F75B7"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F75B7" w:rsidRDefault="003F75B7"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3F75B7" w:rsidRDefault="003F75B7"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3F75B7" w:rsidRDefault="003F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6496"/>
    <w:multiLevelType w:val="multilevel"/>
    <w:tmpl w:val="49DCC94E"/>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1">
    <w:nsid w:val="22F95A26"/>
    <w:multiLevelType w:val="multilevel"/>
    <w:tmpl w:val="563228F8"/>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2">
    <w:nsid w:val="2F713C19"/>
    <w:multiLevelType w:val="multilevel"/>
    <w:tmpl w:val="9B0E0344"/>
    <w:lvl w:ilvl="0">
      <w:start w:val="19"/>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795" w:hanging="435"/>
      </w:pPr>
      <w:rPr>
        <w:rFonts w:ascii="Times New Roman" w:eastAsia="Times New Roman" w:hAnsi="Times New Roman" w:cs="Times New Roman"/>
        <w:sz w:val="24"/>
      </w:rPr>
    </w:lvl>
    <w:lvl w:ilvl="2">
      <w:start w:val="1"/>
      <w:numFmt w:val="lowerLetter"/>
      <w:lvlText w:val="%3)"/>
      <w:lvlJc w:val="left"/>
      <w:pPr>
        <w:ind w:left="0" w:firstLine="0"/>
      </w:pPr>
      <w:rPr>
        <w:rFonts w:ascii="Times New Roman" w:eastAsia="Times New Roman" w:hAnsi="Times New Roman" w:cs="Times New Roman"/>
        <w:sz w:val="16"/>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nsid w:val="540C0792"/>
    <w:multiLevelType w:val="multilevel"/>
    <w:tmpl w:val="1A521334"/>
    <w:lvl w:ilvl="0">
      <w:start w:val="1"/>
      <w:numFmt w:val="lowerLetter"/>
      <w:lvlText w:val="%1)"/>
      <w:lvlJc w:val="left"/>
      <w:pPr>
        <w:ind w:left="0" w:firstLine="0"/>
      </w:pPr>
      <w:rPr>
        <w:rFonts w:ascii="Times New Roman" w:eastAsia="Times New Roman" w:hAnsi="Times New Roman" w:cs="Times New Roman"/>
        <w:color w:val="000000"/>
        <w:sz w:val="16"/>
      </w:rPr>
    </w:lvl>
    <w:lvl w:ilvl="1">
      <w:start w:val="1"/>
      <w:numFmt w:val="lowerLetter"/>
      <w:lvlText w:val="%2."/>
      <w:lvlJc w:val="left"/>
      <w:pPr>
        <w:ind w:left="3705" w:hanging="360"/>
      </w:pPr>
      <w:rPr>
        <w:rFonts w:ascii="Times New Roman" w:eastAsia="Times New Roman" w:hAnsi="Times New Roman" w:cs="Times New Roman"/>
        <w:sz w:val="24"/>
      </w:rPr>
    </w:lvl>
    <w:lvl w:ilvl="2">
      <w:start w:val="1"/>
      <w:numFmt w:val="lowerRoman"/>
      <w:lvlText w:val="%3."/>
      <w:lvlJc w:val="right"/>
      <w:pPr>
        <w:ind w:left="4425" w:hanging="180"/>
      </w:pPr>
      <w:rPr>
        <w:rFonts w:ascii="Times New Roman" w:eastAsia="Times New Roman" w:hAnsi="Times New Roman" w:cs="Times New Roman"/>
        <w:sz w:val="24"/>
      </w:rPr>
    </w:lvl>
    <w:lvl w:ilvl="3">
      <w:start w:val="1"/>
      <w:numFmt w:val="decimal"/>
      <w:lvlText w:val="%4."/>
      <w:lvlJc w:val="left"/>
      <w:pPr>
        <w:ind w:left="5145" w:hanging="360"/>
      </w:pPr>
      <w:rPr>
        <w:rFonts w:ascii="Times New Roman" w:eastAsia="Times New Roman" w:hAnsi="Times New Roman" w:cs="Times New Roman"/>
        <w:sz w:val="24"/>
      </w:rPr>
    </w:lvl>
    <w:lvl w:ilvl="4">
      <w:start w:val="1"/>
      <w:numFmt w:val="lowerLetter"/>
      <w:lvlText w:val="%5."/>
      <w:lvlJc w:val="left"/>
      <w:pPr>
        <w:ind w:left="5865" w:hanging="360"/>
      </w:pPr>
      <w:rPr>
        <w:rFonts w:ascii="Times New Roman" w:eastAsia="Times New Roman" w:hAnsi="Times New Roman" w:cs="Times New Roman"/>
        <w:sz w:val="24"/>
      </w:rPr>
    </w:lvl>
    <w:lvl w:ilvl="5">
      <w:start w:val="1"/>
      <w:numFmt w:val="lowerRoman"/>
      <w:lvlText w:val="%6."/>
      <w:lvlJc w:val="right"/>
      <w:pPr>
        <w:ind w:left="6585" w:hanging="180"/>
      </w:pPr>
      <w:rPr>
        <w:rFonts w:ascii="Times New Roman" w:eastAsia="Times New Roman" w:hAnsi="Times New Roman" w:cs="Times New Roman"/>
        <w:sz w:val="24"/>
      </w:rPr>
    </w:lvl>
    <w:lvl w:ilvl="6">
      <w:start w:val="1"/>
      <w:numFmt w:val="decimal"/>
      <w:lvlText w:val="%7."/>
      <w:lvlJc w:val="left"/>
      <w:pPr>
        <w:ind w:left="7305" w:hanging="360"/>
      </w:pPr>
      <w:rPr>
        <w:rFonts w:ascii="Times New Roman" w:eastAsia="Times New Roman" w:hAnsi="Times New Roman" w:cs="Times New Roman"/>
        <w:sz w:val="24"/>
      </w:rPr>
    </w:lvl>
    <w:lvl w:ilvl="7">
      <w:start w:val="1"/>
      <w:numFmt w:val="lowerLetter"/>
      <w:lvlText w:val="%8."/>
      <w:lvlJc w:val="left"/>
      <w:pPr>
        <w:ind w:left="8025" w:hanging="360"/>
      </w:pPr>
      <w:rPr>
        <w:rFonts w:ascii="Times New Roman" w:eastAsia="Times New Roman" w:hAnsi="Times New Roman" w:cs="Times New Roman"/>
        <w:sz w:val="24"/>
      </w:rPr>
    </w:lvl>
    <w:lvl w:ilvl="8">
      <w:start w:val="1"/>
      <w:numFmt w:val="lowerRoman"/>
      <w:lvlText w:val="%9."/>
      <w:lvlJc w:val="right"/>
      <w:pPr>
        <w:ind w:left="8745" w:hanging="180"/>
      </w:pPr>
      <w:rPr>
        <w:rFonts w:ascii="Times New Roman" w:eastAsia="Times New Roman" w:hAnsi="Times New Roman" w:cs="Times New Roman"/>
        <w:sz w:val="24"/>
      </w:rPr>
    </w:lvl>
  </w:abstractNum>
  <w:abstractNum w:abstractNumId="4">
    <w:nsid w:val="59BA0437"/>
    <w:multiLevelType w:val="multilevel"/>
    <w:tmpl w:val="B5260EC0"/>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5">
    <w:nsid w:val="675321E8"/>
    <w:multiLevelType w:val="multilevel"/>
    <w:tmpl w:val="DC9AA776"/>
    <w:lvl w:ilvl="0">
      <w:start w:val="1"/>
      <w:numFmt w:val="decimal"/>
      <w:lvlText w:val="%1."/>
      <w:lvlJc w:val="left"/>
      <w:pPr>
        <w:ind w:left="0" w:firstLine="0"/>
      </w:pPr>
      <w:rPr>
        <w:rFonts w:ascii="Times New Roman" w:eastAsia="Times New Roman" w:hAnsi="Times New Roman" w:cs="Times New Roman"/>
        <w:b/>
        <w:color w:val="000000"/>
        <w:sz w:val="16"/>
      </w:rPr>
    </w:lvl>
    <w:lvl w:ilvl="1">
      <w:start w:val="1"/>
      <w:numFmt w:val="decimal"/>
      <w:lvlText w:val="%1.%2."/>
      <w:lvlJc w:val="left"/>
      <w:pPr>
        <w:ind w:left="284" w:firstLine="0"/>
      </w:pPr>
      <w:rPr>
        <w:rFonts w:ascii="Bookman Old Style" w:eastAsia="Bookman Old Style" w:hAnsi="Bookman Old Style" w:cs="Bookman Old Style"/>
        <w:b/>
        <w:sz w:val="16"/>
      </w:rPr>
    </w:lvl>
    <w:lvl w:ilvl="2">
      <w:start w:val="1"/>
      <w:numFmt w:val="decimal"/>
      <w:lvlText w:val="%1.%2.%3."/>
      <w:lvlJc w:val="left"/>
      <w:pPr>
        <w:ind w:left="0" w:firstLine="0"/>
      </w:pPr>
      <w:rPr>
        <w:rFonts w:ascii="Bookman Old Style" w:eastAsia="Times New Roman" w:hAnsi="Bookman Old Style" w:cs="Times New Roman" w:hint="default"/>
        <w:b/>
        <w:sz w:val="16"/>
      </w:rPr>
    </w:lvl>
    <w:lvl w:ilvl="3">
      <w:start w:val="1"/>
      <w:numFmt w:val="decimal"/>
      <w:lvlText w:val="%1.%2.%3.%4."/>
      <w:lvlJc w:val="left"/>
      <w:pPr>
        <w:ind w:left="0" w:firstLine="0"/>
      </w:pPr>
      <w:rPr>
        <w:rFonts w:ascii="Times New Roman" w:eastAsia="Times New Roman" w:hAnsi="Times New Roman" w:cs="Times New Roman"/>
        <w:sz w:val="16"/>
      </w:rPr>
    </w:lvl>
    <w:lvl w:ilvl="4">
      <w:start w:val="1"/>
      <w:numFmt w:val="decimal"/>
      <w:lvlText w:val="%1.%2.%3.%4.%5."/>
      <w:lvlJc w:val="left"/>
      <w:pPr>
        <w:ind w:left="1140" w:firstLine="0"/>
      </w:pPr>
      <w:rPr>
        <w:rFonts w:ascii="Times New Roman" w:eastAsia="Times New Roman" w:hAnsi="Times New Roman" w:cs="Times New Roman"/>
        <w:b/>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nsid w:val="78D71E81"/>
    <w:multiLevelType w:val="multilevel"/>
    <w:tmpl w:val="CFFA3D4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60" w:hanging="360"/>
      </w:pPr>
      <w:rPr>
        <w:rFonts w:ascii="Times New Roman" w:eastAsia="Times New Roman" w:hAnsi="Times New Roman" w:cs="Times New Roman"/>
        <w:sz w:val="24"/>
      </w:rPr>
    </w:lvl>
    <w:lvl w:ilvl="2">
      <w:start w:val="1"/>
      <w:numFmt w:val="lowerRoman"/>
      <w:lvlText w:val="%3."/>
      <w:lvlJc w:val="right"/>
      <w:pPr>
        <w:ind w:left="2880" w:hanging="180"/>
      </w:pPr>
      <w:rPr>
        <w:rFonts w:ascii="Times New Roman" w:eastAsia="Times New Roman" w:hAnsi="Times New Roman" w:cs="Times New Roman"/>
        <w:sz w:val="24"/>
      </w:rPr>
    </w:lvl>
    <w:lvl w:ilvl="3">
      <w:start w:val="1"/>
      <w:numFmt w:val="decimal"/>
      <w:lvlText w:val="%4."/>
      <w:lvlJc w:val="left"/>
      <w:pPr>
        <w:ind w:left="3600" w:hanging="360"/>
      </w:pPr>
      <w:rPr>
        <w:rFonts w:ascii="Times New Roman" w:eastAsia="Times New Roman" w:hAnsi="Times New Roman" w:cs="Times New Roman"/>
        <w:sz w:val="24"/>
      </w:rPr>
    </w:lvl>
    <w:lvl w:ilvl="4">
      <w:start w:val="1"/>
      <w:numFmt w:val="lowerLetter"/>
      <w:lvlText w:val="%5."/>
      <w:lvlJc w:val="left"/>
      <w:pPr>
        <w:ind w:left="4320" w:hanging="360"/>
      </w:pPr>
      <w:rPr>
        <w:rFonts w:ascii="Times New Roman" w:eastAsia="Times New Roman" w:hAnsi="Times New Roman" w:cs="Times New Roman"/>
        <w:sz w:val="24"/>
      </w:rPr>
    </w:lvl>
    <w:lvl w:ilvl="5">
      <w:start w:val="1"/>
      <w:numFmt w:val="lowerRoman"/>
      <w:lvlText w:val="%6."/>
      <w:lvlJc w:val="right"/>
      <w:pPr>
        <w:ind w:left="5040" w:hanging="180"/>
      </w:pPr>
      <w:rPr>
        <w:rFonts w:ascii="Times New Roman" w:eastAsia="Times New Roman" w:hAnsi="Times New Roman" w:cs="Times New Roman"/>
        <w:sz w:val="24"/>
      </w:rPr>
    </w:lvl>
    <w:lvl w:ilvl="6">
      <w:start w:val="1"/>
      <w:numFmt w:val="decimal"/>
      <w:lvlText w:val="%7."/>
      <w:lvlJc w:val="left"/>
      <w:pPr>
        <w:ind w:left="5760" w:hanging="360"/>
      </w:pPr>
      <w:rPr>
        <w:rFonts w:ascii="Times New Roman" w:eastAsia="Times New Roman" w:hAnsi="Times New Roman" w:cs="Times New Roman"/>
        <w:sz w:val="24"/>
      </w:rPr>
    </w:lvl>
    <w:lvl w:ilvl="7">
      <w:start w:val="1"/>
      <w:numFmt w:val="lowerLetter"/>
      <w:lvlText w:val="%8."/>
      <w:lvlJc w:val="left"/>
      <w:pPr>
        <w:ind w:left="6480" w:hanging="360"/>
      </w:pPr>
      <w:rPr>
        <w:rFonts w:ascii="Times New Roman" w:eastAsia="Times New Roman" w:hAnsi="Times New Roman" w:cs="Times New Roman"/>
        <w:sz w:val="24"/>
      </w:rPr>
    </w:lvl>
    <w:lvl w:ilvl="8">
      <w:start w:val="1"/>
      <w:numFmt w:val="lowerRoman"/>
      <w:lvlText w:val="%9."/>
      <w:lvlJc w:val="right"/>
      <w:pPr>
        <w:ind w:left="7200" w:hanging="180"/>
      </w:pPr>
      <w:rPr>
        <w:rFonts w:ascii="Times New Roman" w:eastAsia="Times New Roman" w:hAnsi="Times New Roman" w:cs="Times New Roman"/>
        <w:sz w:val="24"/>
      </w:rPr>
    </w:lvl>
  </w:abstractNum>
  <w:num w:numId="1">
    <w:abstractNumId w:val="2"/>
  </w:num>
  <w:num w:numId="2">
    <w:abstractNumId w:val="2"/>
    <w:lvlOverride w:ilvl="2">
      <w:startOverride w:val="1"/>
    </w:lvlOverride>
  </w:num>
  <w:num w:numId="3">
    <w:abstractNumId w:val="3"/>
  </w:num>
  <w:num w:numId="4">
    <w:abstractNumId w:val="3"/>
    <w:lvlOverride w:ilvl="0">
      <w:startOverride w:val="1"/>
    </w:lvlOverride>
  </w:num>
  <w:num w:numId="5">
    <w:abstractNumId w:val="5"/>
  </w:num>
  <w:num w:numId="6">
    <w:abstractNumId w:val="5"/>
    <w:lvlOverride w:ilvl="0">
      <w:startOverride w:val="1"/>
    </w:lvlOverride>
  </w:num>
  <w:num w:numId="7">
    <w:abstractNumId w:val="5"/>
    <w:lvlOverride w:ilvl="1">
      <w:startOverride w:val="1"/>
    </w:lvlOverride>
  </w:num>
  <w:num w:numId="8">
    <w:abstractNumId w:val="5"/>
    <w:lvlOverride w:ilvl="2">
      <w:startOverride w:val="1"/>
    </w:lvlOverride>
  </w:num>
  <w:num w:numId="9">
    <w:abstractNumId w:val="5"/>
    <w:lvlOverride w:ilvl="1">
      <w:startOverride w:val="1"/>
    </w:lvlOverride>
  </w:num>
  <w:num w:numId="10">
    <w:abstractNumId w:val="5"/>
    <w:lvlOverride w:ilvl="2">
      <w:startOverride w:val="1"/>
    </w:lvlOverride>
  </w:num>
  <w:num w:numId="11">
    <w:abstractNumId w:val="5"/>
    <w:lvlOverride w:ilvl="2">
      <w:startOverride w:val="1"/>
    </w:lvlOverride>
  </w:num>
  <w:num w:numId="12">
    <w:abstractNumId w:val="5"/>
    <w:lvlOverride w:ilvl="3">
      <w:startOverride w:val="1"/>
    </w:lvlOverride>
  </w:num>
  <w:num w:numId="13">
    <w:abstractNumId w:val="5"/>
    <w:lvlOverride w:ilvl="3">
      <w:startOverride w:val="1"/>
    </w:lvlOverride>
  </w:num>
  <w:num w:numId="14">
    <w:abstractNumId w:val="5"/>
    <w:lvlOverride w:ilvl="1">
      <w:startOverride w:val="1"/>
    </w:lvlOverride>
  </w:num>
  <w:num w:numId="15">
    <w:abstractNumId w:val="0"/>
  </w:num>
  <w:num w:numId="16">
    <w:abstractNumId w:val="0"/>
    <w:lvlOverride w:ilvl="2">
      <w:startOverride w:val="1"/>
    </w:lvlOverride>
  </w:num>
  <w:num w:numId="17">
    <w:abstractNumId w:val="0"/>
    <w:lvlOverride w:ilvl="4">
      <w:startOverride w:val="1"/>
    </w:lvlOverride>
  </w:num>
  <w:num w:numId="18">
    <w:abstractNumId w:val="1"/>
  </w:num>
  <w:num w:numId="19">
    <w:abstractNumId w:val="1"/>
    <w:lvlOverride w:ilvl="0">
      <w:startOverride w:val="1"/>
    </w:lvlOverride>
  </w:num>
  <w:num w:numId="20">
    <w:abstractNumId w:val="6"/>
  </w:num>
  <w:num w:numId="21">
    <w:abstractNumId w:val="6"/>
    <w:lvlOverride w:ilvl="0">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B7"/>
    <w:rsid w:val="00356864"/>
    <w:rsid w:val="003F75B7"/>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4A14-8FBF-409A-B5F4-0C281CD9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B7"/>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3F75B7"/>
    <w:pPr>
      <w:ind w:left="720"/>
      <w:contextualSpacing/>
    </w:pPr>
  </w:style>
  <w:style w:type="character" w:customStyle="1" w:styleId="PargrafodaListaChar">
    <w:name w:val="Parágrafo da Lista Char"/>
    <w:basedOn w:val="Fontepargpadro"/>
    <w:link w:val="PargrafodaLista"/>
    <w:uiPriority w:val="34"/>
    <w:rsid w:val="003F75B7"/>
    <w:rPr>
      <w:rFonts w:ascii="Arial" w:eastAsia="Arial" w:hAnsi="Arial" w:cs="Arial"/>
      <w:sz w:val="20"/>
      <w:szCs w:val="20"/>
      <w:lang w:eastAsia="pt-BR"/>
    </w:rPr>
  </w:style>
  <w:style w:type="paragraph" w:styleId="Cabealho">
    <w:name w:val="header"/>
    <w:basedOn w:val="Normal"/>
    <w:link w:val="CabealhoChar"/>
    <w:uiPriority w:val="99"/>
    <w:unhideWhenUsed/>
    <w:rsid w:val="003F75B7"/>
    <w:pPr>
      <w:tabs>
        <w:tab w:val="center" w:pos="4252"/>
        <w:tab w:val="right" w:pos="8504"/>
      </w:tabs>
    </w:pPr>
  </w:style>
  <w:style w:type="character" w:customStyle="1" w:styleId="CabealhoChar">
    <w:name w:val="Cabeçalho Char"/>
    <w:basedOn w:val="Fontepargpadro"/>
    <w:link w:val="Cabealho"/>
    <w:uiPriority w:val="99"/>
    <w:rsid w:val="003F75B7"/>
    <w:rPr>
      <w:rFonts w:ascii="Arial" w:eastAsia="Arial" w:hAnsi="Arial" w:cs="Arial"/>
      <w:sz w:val="20"/>
      <w:szCs w:val="20"/>
      <w:lang w:eastAsia="pt-BR"/>
    </w:rPr>
  </w:style>
  <w:style w:type="paragraph" w:styleId="Rodap">
    <w:name w:val="footer"/>
    <w:basedOn w:val="Normal"/>
    <w:link w:val="RodapChar"/>
    <w:uiPriority w:val="99"/>
    <w:unhideWhenUsed/>
    <w:rsid w:val="003F75B7"/>
    <w:pPr>
      <w:tabs>
        <w:tab w:val="center" w:pos="4252"/>
        <w:tab w:val="right" w:pos="8504"/>
      </w:tabs>
    </w:pPr>
  </w:style>
  <w:style w:type="character" w:customStyle="1" w:styleId="RodapChar">
    <w:name w:val="Rodapé Char"/>
    <w:basedOn w:val="Fontepargpadro"/>
    <w:link w:val="Rodap"/>
    <w:uiPriority w:val="99"/>
    <w:rsid w:val="003F75B7"/>
    <w:rPr>
      <w:rFonts w:ascii="Arial" w:eastAsia="Arial" w:hAnsi="Arial" w:cs="Arial"/>
      <w:sz w:val="20"/>
      <w:szCs w:val="20"/>
      <w:lang w:eastAsia="pt-BR"/>
    </w:rPr>
  </w:style>
  <w:style w:type="character" w:styleId="Hyperlink">
    <w:name w:val="Hyperlink"/>
    <w:uiPriority w:val="99"/>
    <w:unhideWhenUsed/>
    <w:rsid w:val="003F75B7"/>
    <w:rPr>
      <w:color w:val="0563C1"/>
      <w:u w:val="single"/>
    </w:rPr>
  </w:style>
  <w:style w:type="paragraph" w:customStyle="1" w:styleId="ParagraphStyle">
    <w:name w:val="Paragraph Style"/>
    <w:rsid w:val="003F75B7"/>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4404</Words>
  <Characters>23786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2023-12-11T19:00:00Z</dcterms:created>
  <dcterms:modified xsi:type="dcterms:W3CDTF">2023-12-11T19:19:00Z</dcterms:modified>
</cp:coreProperties>
</file>